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42C5B5">
      <w:pPr>
        <w:jc w:val="center"/>
        <w:rPr>
          <w:rFonts w:hint="eastAsia" w:ascii="Microsoft YaHei" w:hAnsi="Microsoft YaHei" w:eastAsia="Microsoft YaHei" w:cs="Microsoft YaHei"/>
        </w:rPr>
      </w:pPr>
      <w:r>
        <w:rPr>
          <w:rFonts w:hint="eastAsia" w:ascii="Microsoft YaHei" w:hAnsi="Microsoft YaHei" w:eastAsia="Microsoft YaHei" w:cs="Microsoft YaHei"/>
        </w:rPr>
        <w:drawing>
          <wp:inline distT="0" distB="0" distL="114300" distR="114300">
            <wp:extent cx="5486400" cy="3657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
                    <a:stretch>
                      <a:fillRect/>
                    </a:stretch>
                  </pic:blipFill>
                  <pic:spPr>
                    <a:xfrm>
                      <a:off x="0" y="0"/>
                      <a:ext cx="5486400" cy="3657600"/>
                    </a:xfrm>
                    <a:prstGeom prst="rect">
                      <a:avLst/>
                    </a:prstGeom>
                  </pic:spPr>
                </pic:pic>
              </a:graphicData>
            </a:graphic>
          </wp:inline>
        </w:drawing>
      </w:r>
    </w:p>
    <w:p w14:paraId="0EAF0706">
      <w:pPr>
        <w:pStyle w:val="19"/>
        <w:widowControl/>
        <w:ind w:left="0" w:leftChars="0" w:firstLine="0" w:firstLineChars="0"/>
        <w:jc w:val="center"/>
        <w:rPr>
          <w:rFonts w:hint="eastAsia" w:ascii="Microsoft YaHei" w:hAnsi="Microsoft YaHei" w:eastAsia="Microsoft YaHei" w:cs="Microsoft YaHei"/>
          <w:sz w:val="22"/>
          <w:szCs w:val="22"/>
          <w:lang w:val="en-US" w:eastAsia="zh-CN" w:bidi="ar-SA"/>
        </w:rPr>
        <w:sectPr>
          <w:pgSz w:w="12240" w:h="15840"/>
          <w:pgMar w:top="1440" w:right="1800" w:bottom="1440" w:left="1800" w:header="720" w:footer="720" w:gutter="0"/>
          <w:cols w:space="720" w:num="1"/>
          <w:docGrid w:linePitch="360" w:charSpace="0"/>
        </w:sectPr>
      </w:pPr>
      <w:bookmarkStart w:id="77" w:name="_GoBack"/>
      <w:bookmarkEnd w:id="77"/>
      <w:r>
        <w:rPr>
          <w:rFonts w:hint="eastAsia" w:ascii="Microsoft YaHei" w:hAnsi="Microsoft YaHei" w:eastAsia="Microsoft YaHei" w:cs="Microsoft YaHei"/>
          <w:sz w:val="22"/>
          <w:szCs w:val="22"/>
          <w:lang w:val="en-US" w:eastAsia="zh-CN" w:bidi="ar-SA"/>
        </w:rPr>
        <w:t>岳永贵 编者</w:t>
      </w:r>
    </w:p>
    <w:p w14:paraId="4CB60CD1">
      <w:pPr>
        <w:pStyle w:val="19"/>
        <w:widowControl/>
        <w:ind w:left="0" w:leftChars="0" w:firstLine="0" w:firstLineChars="0"/>
        <w:jc w:val="left"/>
        <w:rPr>
          <w:rFonts w:ascii="Times New Roman" w:hAnsi="Times New Roman" w:eastAsia="SimSun" w:cs="Times New Roman"/>
          <w:sz w:val="24"/>
          <w:szCs w:val="24"/>
        </w:rPr>
      </w:pPr>
      <w:r>
        <w:rPr>
          <w:rFonts w:ascii="Times New Roman" w:hAnsi="Times New Roman" w:eastAsia="SimSun" w:cs="Times New Roman"/>
          <w:sz w:val="24"/>
          <w:szCs w:val="24"/>
        </w:rPr>
        <w:t>ISBN 编号：978-7-111-75689-2</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CIP 分类号：F276.44</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版权声明：©2026 编写团队</w:t>
      </w:r>
    </w:p>
    <w:p w14:paraId="64ED9423">
      <w:pPr>
        <w:pStyle w:val="19"/>
        <w:widowControl/>
        <w:ind w:left="0" w:leftChars="0" w:firstLine="0" w:firstLineChars="0"/>
        <w:jc w:val="left"/>
        <w:rPr>
          <w:rFonts w:ascii="Times New Roman" w:hAnsi="Times New Roman" w:eastAsia="SimSun" w:cs="Times New Roman"/>
          <w:sz w:val="24"/>
          <w:szCs w:val="24"/>
        </w:rPr>
      </w:pPr>
      <w:r>
        <w:rPr>
          <w:rFonts w:ascii="Times New Roman" w:hAnsi="Times New Roman" w:eastAsia="SimSun" w:cs="Times New Roman"/>
          <w:sz w:val="24"/>
          <w:szCs w:val="24"/>
        </w:rPr>
        <w:t>责任编辑：张梦</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联系方式：zhangmeng@machineinfo.com.cn</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策划编辑：李乐</w:t>
      </w:r>
    </w:p>
    <w:p w14:paraId="4A9EF61E">
      <w:pPr>
        <w:pStyle w:val="19"/>
        <w:widowControl/>
        <w:ind w:left="0" w:leftChars="0" w:firstLine="0" w:firstLineChars="0"/>
        <w:jc w:val="left"/>
        <w:rPr>
          <w:rFonts w:ascii="Times New Roman" w:hAnsi="Times New Roman" w:eastAsia="SimSun" w:cs="Times New Roman"/>
          <w:sz w:val="24"/>
          <w:szCs w:val="24"/>
        </w:rPr>
      </w:pPr>
      <w:r>
        <w:rPr>
          <w:rFonts w:ascii="Times New Roman" w:hAnsi="Times New Roman" w:eastAsia="SimSun" w:cs="Times New Roman"/>
          <w:sz w:val="24"/>
          <w:szCs w:val="24"/>
        </w:rPr>
        <w:t>版本说明：第1版第1次印刷</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印数：1-5000册</w:t>
      </w:r>
    </w:p>
    <w:p w14:paraId="1F4A9EDA">
      <w:pPr>
        <w:jc w:val="left"/>
      </w:pPr>
      <w:r>
        <w:br w:type="page"/>
      </w:r>
    </w:p>
    <w:p w14:paraId="61E52BB9">
      <w:pPr>
        <w:pStyle w:val="3"/>
        <w:outlineLvl w:val="9"/>
      </w:pPr>
      <w:r>
        <w:t>内容简介</w:t>
      </w:r>
    </w:p>
    <w:p w14:paraId="00380F7B">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本书系统阐述了科技服务型企业商务策划的核心理论、方法与实践，深入探讨了从基础概念到高级策略的各个方面，包括战略规划、市场分析、创新模式等关键内容。全书涵盖概述、核心原则、方法论、实践案例、风险管理、未来趋势六大模块：概述部分介绍科技服务型企业的行业背景与商务策划的重要性；核心原则部分阐述策划过程中需遵循的指导性原则，如客户导向、创新驱动等；方法论部分提供具体的策划工具、步骤和框架，如SWOT分析、商业模式画布；实践案例部分通过真实行业案例，如信息技术、工程咨询等领域的成功经验，展示策划的实际应用与效果；风险管理部分分析策划实施中可能遇到的内外部风险，并提供评估与缓解策略；未来趋势部分展望科技服务行业的发展方向及策划技术的演进。全书结合多个真实行业案例，详细解析策划从理论构思到落地执行的完整路径，强调步骤分解、资源整合与效果评估，突出实用性与可操作性。本书适合高校工商管理、商务策划专业师生作为教材使用，内容结构系统，每章配有学习目标、小结与思考题，便于教学与自学；也可供科技服务企业管理者、策划人员参考学习，为其提供实战指导，帮助提升企业竞争力和策划效率。</w:t>
      </w:r>
    </w:p>
    <w:p w14:paraId="6DCAA4BF">
      <w:r>
        <w:br w:type="page"/>
      </w:r>
    </w:p>
    <w:p w14:paraId="24110CE3">
      <w:pPr>
        <w:pStyle w:val="3"/>
        <w:outlineLvl w:val="9"/>
      </w:pPr>
      <w:r>
        <w:t>前言</w:t>
      </w:r>
    </w:p>
    <w:p w14:paraId="4C101FC8">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近年来，我国科技服务业进入高速发展期，2025年高技术服务业销售收入同比增长16.1%，成为推动产业升级的核心动力。但与此同时，大量科技服务企业面临着技术与业务脱节、同质化竞争、定位模糊等痛点，亟需系统的商务策划能力来破局。然而，当前市场上缺乏针对科技服务型企业的专门商务策划教材，现有内容多为通用型策划理论，难以匹配行业的特殊性。</w:t>
      </w:r>
    </w:p>
    <w:p w14:paraId="214CF324">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基于此，我们组织了长期研究科技服务业的学者与一线从业者，共同编写了本书。全书共分为六个部分：第一部分为概述，介绍科技服务型企业与商务策划的基础认知；第二部分阐述商务策划的六大核心原则；第三部分讲解核心策划方法论与工具；第四部分通过正反案例解析实践路径；第五部分介绍策划过程中的风险管控；第六部分展望行业未来趋势。</w:t>
      </w:r>
    </w:p>
    <w:p w14:paraId="642480B0">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在使用上，高校教师可按照32课时的安排开展教学，结合案例研讨与实践训练，实现“岗课赛证”融通；企业管理者可将本书作为内部培训教材，重点参考案例与工具部分；自学者可按照章节顺序逐步学习，结合附录的工具模板进行实操练习。</w:t>
      </w:r>
    </w:p>
    <w:p w14:paraId="75E50A82">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由于编者水平有限，书中难免存在疏漏之处，恳请广大读者批评指正，以便我们后续修订完善。</w:t>
      </w:r>
    </w:p>
    <w:p w14:paraId="735BC81F">
      <w:r>
        <w:br w:type="page"/>
      </w:r>
    </w:p>
    <w:p w14:paraId="29C2BB2B">
      <w:pPr>
        <w:pStyle w:val="3"/>
        <w:outlineLvl w:val="9"/>
      </w:pPr>
      <w:r>
        <w:t>序言</w:t>
      </w:r>
    </w:p>
    <w:p w14:paraId="067F341E">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科技服务业作为创新驱动发展的关键载体，不仅是现代产业体系的核心组成部分，更是推动经济转型升级的重要引擎。在数字经济浪潮与新质生产力理念的深度融合下，科技服务企业正经历着从服务模式到商业逻辑的深刻变革，而传统的通用商务策划理论因其普适性较强，往往难以精准应对科技服务行业的高知识密度、快速迭代与跨界融合等特殊需求，导致企业在战略规划、市场拓展及价值创造中面临诸多挑战。</w:t>
      </w:r>
    </w:p>
    <w:p w14:paraId="0E727277">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岳永贵团队倾力编写的《科技服务型企业商务策划：原则、方法与实践》一书，恰逢其时地填补了国内在这一领域的教材空白。该书深入剖析了科技服务行业在客户定制化、技术商业化、知识产权运营等方面的实际痛点，创造性地将经典商务策划理论与行业前沿实践相结合。书中不仅系统阐述了商务策划的核心框架与逻辑思维，还通过引入大量来自高新技术园区、研发服务机构及科技咨询企业的真实案例，生动展示了策划方法在项目孵化、服务创新、生态合作中的具体应用场景，使读者能够循序渐进地提升可操作、可落地的策划能力，从而有效应对行业变革中的不确定性。</w:t>
      </w:r>
    </w:p>
    <w:p w14:paraId="5C29FFED">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作为一本融理论深度与实践指导于一体的精品教材，本书既可作为高校科技管理、服务科学、创新创业等专业的核心课程教材，助力培养适应新时代需求的复合型人才；也能为科技服务企业的中高层管理者、项目负责人及创业者提供切实可行的策略工具箱，帮助他们在复杂市场环境中做出科学决策，优化资源配置，提升服务竞争力。我深信，这本书的出版与推广，必将为科技服务领域的人才培养注入新动力，为行业的规范化、专业化发展提供坚实支撑，进而推动整个产业生态的繁荣进步。特此作序，诚挚推荐。</w:t>
      </w:r>
    </w:p>
    <w:p w14:paraId="5CBB7BF5">
      <w:pPr>
        <w:jc w:val="right"/>
        <w:rPr>
          <w:rFonts w:ascii="Times New Roman" w:hAnsi="Times New Roman" w:eastAsia="SimSun" w:cs="Times New Roman"/>
          <w:sz w:val="24"/>
          <w:szCs w:val="24"/>
        </w:rPr>
      </w:pPr>
      <w:r>
        <w:rPr>
          <w:rFonts w:ascii="Times New Roman" w:hAnsi="Times New Roman" w:eastAsia="SimSun" w:cs="Times New Roman"/>
          <w:sz w:val="24"/>
          <w:szCs w:val="24"/>
        </w:rPr>
        <w:t>2026年4月</w:t>
      </w:r>
    </w:p>
    <w:p w14:paraId="247BEA16">
      <w:r>
        <w:br w:type="page"/>
      </w:r>
    </w:p>
    <w:p w14:paraId="163D40AA">
      <w:pPr>
        <w:widowControl w:val="0"/>
        <w:numPr>
          <w:ilvl w:val="0"/>
          <w:numId w:val="0"/>
        </w:numPr>
        <w:adjustRightInd w:val="0"/>
        <w:spacing w:before="320" w:after="200" w:line="300" w:lineRule="auto"/>
        <w:ind w:left="440" w:leftChars="0" w:firstLine="0" w:firstLineChars="0"/>
        <w:jc w:val="both"/>
        <w:outlineLvl w:val="9"/>
        <w:rPr>
          <w:rFonts w:hint="eastAsia" w:ascii="SimHei" w:hAnsi="SimHei" w:eastAsia="SimHei" w:cs="SimHei"/>
          <w:b w:val="0"/>
          <w:color w:val="000000"/>
          <w:kern w:val="44"/>
          <w:sz w:val="32"/>
          <w:szCs w:val="44"/>
          <w:bdr w:val="none" w:sz="0" w:space="0"/>
          <w:lang w:bidi="ar-SA"/>
        </w:rPr>
        <w:sectPr>
          <w:footerReference r:id="rId5" w:type="default"/>
          <w:pgSz w:w="12240" w:h="15840"/>
          <w:pgMar w:top="1440" w:right="1800" w:bottom="1440" w:left="1800" w:header="720" w:footer="720" w:gutter="0"/>
          <w:pgNumType w:start="1"/>
          <w:cols w:space="720" w:num="1"/>
          <w:docGrid w:linePitch="360" w:charSpace="0"/>
        </w:sectPr>
      </w:pPr>
    </w:p>
    <w:sdt>
      <w:sdtPr>
        <w:rPr>
          <w:rFonts w:ascii="SimSun" w:hAnsi="SimSun" w:eastAsia="SimSun" w:cstheme="minorBidi"/>
          <w:sz w:val="21"/>
          <w:szCs w:val="22"/>
          <w:lang w:val="en-US" w:eastAsia="en-US" w:bidi="ar-SA"/>
        </w:rPr>
        <w:id w:val="147472484"/>
        <w15:color w:val="DBDBDB"/>
        <w:docPartObj>
          <w:docPartGallery w:val="Table of Contents"/>
          <w:docPartUnique/>
        </w:docPartObj>
      </w:sdtPr>
      <w:sdtEndPr>
        <w:rPr>
          <w:rFonts w:hint="eastAsia" w:ascii="FZFangSong-Z02S" w:hAnsi="FZFangSong-Z02S" w:eastAsia="FZFangSong-Z02S" w:cs="FZFangSong-Z02S"/>
          <w:color w:val="000000"/>
          <w:kern w:val="44"/>
          <w:sz w:val="22"/>
          <w:szCs w:val="44"/>
          <w:bdr w:val="none" w:sz="0" w:space="0"/>
          <w:lang w:val="en-US" w:eastAsia="en-US" w:bidi="ar-SA"/>
        </w:rPr>
      </w:sdtEndPr>
      <w:sdtContent>
        <w:p w14:paraId="0774442B">
          <w:pPr>
            <w:spacing w:before="0" w:beforeLines="0" w:after="0" w:afterLines="0" w:line="240" w:lineRule="auto"/>
            <w:ind w:left="0" w:leftChars="0" w:right="0" w:rightChars="0" w:firstLine="0" w:firstLineChars="0"/>
            <w:jc w:val="center"/>
            <w:rPr>
              <w:rFonts w:hint="eastAsia" w:ascii="FZFangSong-Z02S" w:hAnsi="FZFangSong-Z02S" w:eastAsia="FZFangSong-Z02S" w:cs="FZFangSong-Z02S"/>
              <w:sz w:val="24"/>
              <w:szCs w:val="24"/>
            </w:rPr>
          </w:pPr>
          <w:r>
            <w:rPr>
              <w:rFonts w:hint="eastAsia" w:ascii="FZFangSong-Z02S" w:hAnsi="FZFangSong-Z02S" w:eastAsia="FZFangSong-Z02S" w:cs="FZFangSong-Z02S"/>
              <w:sz w:val="24"/>
              <w:szCs w:val="24"/>
            </w:rPr>
            <w:t>目录</w:t>
          </w:r>
        </w:p>
        <w:p w14:paraId="0056E554">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b w:val="0"/>
              <w:color w:val="000000"/>
              <w:kern w:val="44"/>
              <w:sz w:val="24"/>
              <w:szCs w:val="24"/>
              <w:bdr w:val="none" w:sz="0" w:space="0"/>
              <w:lang w:bidi="ar-SA"/>
            </w:rPr>
            <w:fldChar w:fldCharType="begin"/>
          </w:r>
          <w:r>
            <w:rPr>
              <w:rFonts w:hint="eastAsia" w:ascii="FZFangSong-Z02S" w:hAnsi="FZFangSong-Z02S" w:eastAsia="FZFangSong-Z02S" w:cs="FZFangSong-Z02S"/>
              <w:b w:val="0"/>
              <w:color w:val="000000"/>
              <w:kern w:val="44"/>
              <w:sz w:val="24"/>
              <w:szCs w:val="24"/>
              <w:bdr w:val="none" w:sz="0" w:space="0"/>
              <w:lang w:bidi="ar-SA"/>
            </w:rPr>
            <w:instrText xml:space="preserve">TOC \o "1-3" \h \u </w:instrText>
          </w:r>
          <w:r>
            <w:rPr>
              <w:rFonts w:hint="eastAsia" w:ascii="FZFangSong-Z02S" w:hAnsi="FZFangSong-Z02S" w:eastAsia="FZFangSong-Z02S" w:cs="FZFangSong-Z02S"/>
              <w:b w:val="0"/>
              <w:color w:val="000000"/>
              <w:kern w:val="44"/>
              <w:sz w:val="24"/>
              <w:szCs w:val="24"/>
              <w:bdr w:val="none" w:sz="0" w:space="0"/>
              <w:lang w:bidi="ar-SA"/>
            </w:rPr>
            <w:fldChar w:fldCharType="separate"/>
          </w: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_Toc27834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kern w:val="44"/>
              <w:szCs w:val="44"/>
              <w:lang w:bidi="ar-SA"/>
            </w:rPr>
            <w:t>第一章</w:t>
          </w:r>
          <w:r>
            <w:rPr>
              <w:rFonts w:hint="eastAsia" w:ascii="FZFangSong-Z02S" w:hAnsi="FZFangSong-Z02S" w:eastAsia="FZFangSong-Z02S" w:cs="FZFangSong-Z02S"/>
            </w:rPr>
            <w:t>科技服务型企业的商务策划概述</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_Toc27834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10</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0D563BC">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_Toc13368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1.1 </w:t>
          </w:r>
          <w:r>
            <w:rPr>
              <w:rFonts w:hint="eastAsia" w:ascii="FZFangSong-Z02S" w:hAnsi="FZFangSong-Z02S" w:eastAsia="FZFangSong-Z02S" w:cs="FZFangSong-Z02S"/>
            </w:rPr>
            <w:t>商务策划的核心内涵与本质</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_Toc13368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11</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3BCB0833">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_Toc31022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1.1.1 </w:t>
          </w:r>
          <w:r>
            <w:rPr>
              <w:rFonts w:hint="eastAsia" w:ascii="FZFangSong-Z02S" w:hAnsi="FZFangSong-Z02S" w:eastAsia="FZFangSong-Z02S" w:cs="FZFangSong-Z02S"/>
            </w:rPr>
            <w:t>商务策划的定义与核心要素</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_Toc31022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11</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9222A32">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_Toc10799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1.1.2 </w:t>
          </w:r>
          <w:r>
            <w:rPr>
              <w:rFonts w:hint="eastAsia" w:ascii="FZFangSong-Z02S" w:hAnsi="FZFangSong-Z02S" w:eastAsia="FZFangSong-Z02S" w:cs="FZFangSong-Z02S"/>
            </w:rPr>
            <w:t>商务策划与战略规划的区别与联系</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_Toc10799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13</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A93A76B">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_Toc24816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1.1.3 商务策划的基本功能与价值</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_Toc24816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14</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3C162BE2">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_Toc17166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1.1.4 </w:t>
          </w:r>
          <w:r>
            <w:rPr>
              <w:rFonts w:hint="eastAsia" w:ascii="FZFangSong-Z02S" w:hAnsi="FZFangSong-Z02S" w:eastAsia="FZFangSong-Z02S" w:cs="FZFangSong-Z02S"/>
            </w:rPr>
            <w:t>商务策划的基本原则雏形</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_Toc17166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15</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7B5B5A63">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_Toc7810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1.2 科技服务型企业商务策划的行业特性与实践导向</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_Toc7810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17</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0CF8982">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_Toc2026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全章总结</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_Toc2026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18</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05936CF0">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_Toc5333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kern w:val="44"/>
              <w:szCs w:val="44"/>
              <w:lang w:bidi="ar-SA"/>
            </w:rPr>
            <w:t>第二章</w:t>
          </w:r>
          <w:r>
            <w:rPr>
              <w:rFonts w:hint="eastAsia" w:ascii="FZFangSong-Z02S" w:hAnsi="FZFangSong-Z02S" w:eastAsia="FZFangSong-Z02S" w:cs="FZFangSong-Z02S"/>
            </w:rPr>
            <w:t>科技服务型企业商务策划的核心原则</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_Toc5333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19</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079FD84A">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_Toc7517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2.1 </w:t>
          </w:r>
          <w:r>
            <w:rPr>
              <w:rFonts w:hint="eastAsia" w:ascii="FZFangSong-Z02S" w:hAnsi="FZFangSong-Z02S" w:eastAsia="FZFangSong-Z02S" w:cs="FZFangSong-Z02S"/>
            </w:rPr>
            <w:t>创新原则：突破边界的价值创造</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_Toc7517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19</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6959A4E">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_Toc5598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2.1.1 </w:t>
          </w:r>
          <w:r>
            <w:rPr>
              <w:rFonts w:hint="eastAsia" w:ascii="FZFangSong-Z02S" w:hAnsi="FZFangSong-Z02S" w:eastAsia="FZFangSong-Z02S" w:cs="FZFangSong-Z02S"/>
            </w:rPr>
            <w:t>创新原则的内涵与核心要求</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_Toc5598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19</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60A6B7E">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_Toc22075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2.1.2 </w:t>
          </w:r>
          <w:r>
            <w:rPr>
              <w:rFonts w:hint="eastAsia" w:ascii="FZFangSong-Z02S" w:hAnsi="FZFangSong-Z02S" w:eastAsia="FZFangSong-Z02S" w:cs="FZFangSong-Z02S"/>
            </w:rPr>
            <w:t>技术创新与服务创新的协同</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_Toc22075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21</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316E57A">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_Toc14065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2.2 客户导向原则：以需求为核心的价值传递</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_Toc14065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22</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1D74974">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_Toc4377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2.2.1 客户导向原则的内涵与核心要求</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_Toc4377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22</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2588F37">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_Toc10421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2.2.2 客户需求挖掘与价值匹配策略</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_Toc10421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22</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69CFEF2E">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_Toc24283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2.3 系统性原则：资源整合的价值最大化</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_Toc24283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23</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34BBB008">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_Toc14315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2.3.1 系统性原则的内涵与核心要求</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_Toc14315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23</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0280D6D">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_Toc8933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2.3.2 资源整合与协同的实施路径</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_Toc8933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23</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3161690C">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_Toc1389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2.4 可持续发展原则：长期价值的构建与延续</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_Toc1389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24</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233FEB8">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_Toc8611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2.4.1 可持续发展原则的内涵与核心要求</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_Toc8611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24</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7361B63B">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_Toc14084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2.4.2 可持续发展原则的实施路径</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_Toc14084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24</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922F274">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_Toc22661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2.5 敏捷响应原则：快速迭代的价值适配</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_Toc22661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25</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5CAA450">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_Toc12295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2.5.1 敏捷响应原则的内涵与核心要求</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_Toc12295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25</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32B97E7">
          <w:pPr>
            <w:pStyle w:val="24"/>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_Toc4769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2.5.2 敏捷响应原则的实施路径</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_Toc4769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25</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DEE70A9">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_Toc6116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全章总结</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_Toc6116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26</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1D683A8">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_Toc1942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kern w:val="44"/>
              <w:szCs w:val="44"/>
              <w:lang w:bidi="ar-SA"/>
            </w:rPr>
            <w:t>第三章</w:t>
          </w:r>
          <w:r>
            <w:rPr>
              <w:rFonts w:hint="eastAsia" w:ascii="FZFangSong-Z02S" w:hAnsi="FZFangSong-Z02S" w:eastAsia="FZFangSong-Z02S" w:cs="FZFangSong-Z02S"/>
            </w:rPr>
            <w:t>科技服务型企业商务策划的核心方法论</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_Toc1942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27</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9475D24">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_Toc26113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3.1 </w:t>
          </w:r>
          <w:r>
            <w:rPr>
              <w:rFonts w:hint="eastAsia" w:ascii="FZFangSong-Z02S" w:hAnsi="FZFangSong-Z02S" w:eastAsia="FZFangSong-Z02S" w:cs="FZFangSong-Z02S"/>
            </w:rPr>
            <w:t>环境分析工具：PEST与五力模型</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_Toc26113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27</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957198D">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_Toc32363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3.2 </w:t>
          </w:r>
          <w:r>
            <w:rPr>
              <w:rFonts w:hint="eastAsia" w:ascii="FZFangSong-Z02S" w:hAnsi="FZFangSong-Z02S" w:eastAsia="FZFangSong-Z02S" w:cs="FZFangSong-Z02S"/>
            </w:rPr>
            <w:t>SWOT分析：内外部资源的综合研判</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_Toc32363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30</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8B2D52B">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_Toc9625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3.1.2 </w:t>
          </w:r>
          <w:r>
            <w:rPr>
              <w:rFonts w:hint="eastAsia" w:ascii="FZFangSong-Z02S" w:hAnsi="FZFangSong-Z02S" w:eastAsia="FZFangSong-Z02S" w:cs="FZFangSong-Z02S"/>
            </w:rPr>
            <w:t>科技服务行业的政策环境分析</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_Toc9625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31</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8C49B56">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_Toc31868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3.1.3 </w:t>
          </w:r>
          <w:r>
            <w:rPr>
              <w:rFonts w:hint="eastAsia" w:ascii="FZFangSong-Z02S" w:hAnsi="FZFangSong-Z02S" w:eastAsia="FZFangSong-Z02S" w:cs="FZFangSong-Z02S"/>
            </w:rPr>
            <w:t>经济环境对科技服务的影响</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_Toc31868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32</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6BBBF82C">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_Toc31099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kern w:val="44"/>
              <w:szCs w:val="44"/>
              <w:lang w:bidi="ar-SA"/>
            </w:rPr>
            <w:t>第四章</w:t>
          </w:r>
          <w:r>
            <w:rPr>
              <w:rFonts w:hint="eastAsia" w:ascii="FZFangSong-Z02S" w:hAnsi="FZFangSong-Z02S" w:eastAsia="FZFangSong-Z02S" w:cs="FZFangSong-Z02S"/>
            </w:rPr>
            <w:t>科技服务型企业商务策划的实践案例解析</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_Toc31099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34</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62A7C4E">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_Toc2227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4.1 工业科技服务案例：智联科技的预测性维护平台</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_Toc2227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34</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4E4ADEC">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_Toc26333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4.1.1 </w:t>
          </w:r>
          <w:r>
            <w:rPr>
              <w:rFonts w:hint="eastAsia" w:ascii="FZFangSong-Z02S" w:hAnsi="FZFangSong-Z02S" w:eastAsia="FZFangSong-Z02S" w:cs="FZFangSong-Z02S"/>
            </w:rPr>
            <w:t>企业背景与行业痛点</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_Toc26333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34</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88D7F6B">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_Toc3485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4.1.2 </w:t>
          </w:r>
          <w:r>
            <w:rPr>
              <w:rFonts w:hint="eastAsia" w:ascii="FZFangSong-Z02S" w:hAnsi="FZFangSong-Z02S" w:eastAsia="FZFangSong-Z02S" w:cs="FZFangSong-Z02S"/>
            </w:rPr>
            <w:t>商务策划的核心思路</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_Toc3485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35</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AF5992C">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_Toc26522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4.1.3 </w:t>
          </w:r>
          <w:r>
            <w:rPr>
              <w:rFonts w:hint="eastAsia" w:ascii="FZFangSong-Z02S" w:hAnsi="FZFangSong-Z02S" w:eastAsia="FZFangSong-Z02S" w:cs="FZFangSong-Z02S"/>
            </w:rPr>
            <w:t>策划方案的落地实施</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_Toc26522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36</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4264A7D">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_Toc31004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4.1.4 </w:t>
          </w:r>
          <w:r>
            <w:rPr>
              <w:rFonts w:hint="eastAsia" w:ascii="FZFangSong-Z02S" w:hAnsi="FZFangSong-Z02S" w:eastAsia="FZFangSong-Z02S" w:cs="FZFangSong-Z02S"/>
            </w:rPr>
            <w:t>实施后的效果与价值</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_Toc31004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37</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0FDEC8B6">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_Toc1943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全章总结</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_Toc1943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37</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BD43ECD">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_Toc28365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kern w:val="44"/>
              <w:szCs w:val="44"/>
              <w:lang w:bidi="ar-SA"/>
            </w:rPr>
            <w:t>第五章</w:t>
          </w:r>
          <w:r>
            <w:rPr>
              <w:rFonts w:hint="eastAsia" w:ascii="FZFangSong-Z02S" w:hAnsi="FZFangSong-Z02S" w:eastAsia="FZFangSong-Z02S" w:cs="FZFangSong-Z02S"/>
            </w:rPr>
            <w:t>科技服务型企业商务策划的风险评估与管理</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_Toc28365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39</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CAD8BA0">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_Toc11818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5.1 </w:t>
          </w:r>
          <w:r>
            <w:rPr>
              <w:rFonts w:hint="eastAsia" w:ascii="FZFangSong-Z02S" w:hAnsi="FZFangSong-Z02S" w:eastAsia="FZFangSong-Z02S" w:cs="FZFangSong-Z02S"/>
            </w:rPr>
            <w:t>商务策划风险的内涵与类型</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_Toc11818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39</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77756B38">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_Toc19020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5.1.1 </w:t>
          </w:r>
          <w:r>
            <w:rPr>
              <w:rFonts w:hint="eastAsia" w:ascii="FZFangSong-Z02S" w:hAnsi="FZFangSong-Z02S" w:eastAsia="FZFangSong-Z02S" w:cs="FZFangSong-Z02S"/>
            </w:rPr>
            <w:t>商务策划风险的定义与特征</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_Toc19020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39</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E5D9554">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_Toc31653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5.1.2 </w:t>
          </w:r>
          <w:r>
            <w:rPr>
              <w:rFonts w:hint="eastAsia" w:ascii="FZFangSong-Z02S" w:hAnsi="FZFangSong-Z02S" w:eastAsia="FZFangSong-Z02S" w:cs="FZFangSong-Z02S"/>
            </w:rPr>
            <w:t>技术风险的类型与表现</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_Toc31653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40</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048AFBC">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_Toc22792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5.1.3 </w:t>
          </w:r>
          <w:r>
            <w:rPr>
              <w:rFonts w:hint="eastAsia" w:ascii="FZFangSong-Z02S" w:hAnsi="FZFangSong-Z02S" w:eastAsia="FZFangSong-Z02S" w:cs="FZFangSong-Z02S"/>
            </w:rPr>
            <w:t>市场风险的识别与特征</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_Toc22792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41</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F2F8738">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_Toc9351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5.2 科技服务型企业商务策划风险的评估方法与流程</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_Toc9351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42</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739E8C66">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_Toc12099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5.2.1 风险评估的原则与框架</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_Toc12099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42</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09AC21A">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_Toc16089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5.2.2 风险评估的具体方法</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_Toc16089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43</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9C0FA14">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_Toc23143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5.2.3 风险评估的实施流程</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_Toc23143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43</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DDA8987">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_Toc23485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5.3 科技服务型企业商务策划的风险管理策略</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_Toc23485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44</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0AABCFFE">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_Toc747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5.3.1 风险规避策略</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_Toc747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44</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8AA4A83">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_Toc22081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5.3.2 风险转移策略</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_Toc22081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44</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53B724C">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_Toc25165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5.3.3 风险减轻策略</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_Toc25165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44</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0F66F8D6">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_Toc18926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5.3.4 风险接受策略</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_Toc18926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45</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6D156DE">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_Toc22000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5.4 科技服务型企业商务策划风险的监控与持续优化</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_Toc22000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45</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3D7037D0">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_Toc30380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5.4.1 风险监控的机制与工具</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_Toc30380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45</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695849C1">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_Toc24033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5.4.2 风险持续优化的路径</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_Toc24033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45</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60A86D6A">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_Toc17652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5.4.3 实践案例分析</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_Toc17652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46</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727F0D8B">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_Toc3793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5.5 本章总结与未来展望</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_Toc3793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46</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68C569C5">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_Toc29801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kern w:val="44"/>
              <w:szCs w:val="44"/>
              <w:lang w:bidi="ar-SA"/>
            </w:rPr>
            <w:t>第六章</w:t>
          </w:r>
          <w:r>
            <w:rPr>
              <w:rFonts w:hint="eastAsia" w:ascii="FZFangSong-Z02S" w:hAnsi="FZFangSong-Z02S" w:eastAsia="FZFangSong-Z02S" w:cs="FZFangSong-Z02S"/>
            </w:rPr>
            <w:t>科技服务型企业商务策划的未来趋势与展望</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_Toc29801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47</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FB87FD9">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_Toc30914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6.1 </w:t>
          </w:r>
          <w:r>
            <w:rPr>
              <w:rFonts w:hint="eastAsia" w:ascii="FZFangSong-Z02S" w:hAnsi="FZFangSong-Z02S" w:eastAsia="FZFangSong-Z02S" w:cs="FZFangSong-Z02S"/>
            </w:rPr>
            <w:t>数字技术对商务策划的赋能</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_Toc30914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47</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3B5C636">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_Toc4168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6.1.1 </w:t>
          </w:r>
          <w:r>
            <w:rPr>
              <w:rFonts w:hint="eastAsia" w:ascii="FZFangSong-Z02S" w:hAnsi="FZFangSong-Z02S" w:eastAsia="FZFangSong-Z02S" w:cs="FZFangSong-Z02S"/>
            </w:rPr>
            <w:t>大数据在策划中的应用</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_Toc4168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47</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4D218A6">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_Toc20536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6.1.2 </w:t>
          </w:r>
          <w:r>
            <w:rPr>
              <w:rFonts w:hint="eastAsia" w:ascii="FZFangSong-Z02S" w:hAnsi="FZFangSong-Z02S" w:eastAsia="FZFangSong-Z02S" w:cs="FZFangSong-Z02S"/>
            </w:rPr>
            <w:t>人工智能对策划效率的提升</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_Toc20536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48</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5F6F8FA">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_Toc24658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bdr w:val="none" w:sz="0" w:space="0"/>
            </w:rPr>
            <w:t xml:space="preserve">6.1.3 </w:t>
          </w:r>
          <w:r>
            <w:rPr>
              <w:rFonts w:hint="eastAsia" w:ascii="FZFangSong-Z02S" w:hAnsi="FZFangSong-Z02S" w:eastAsia="FZFangSong-Z02S" w:cs="FZFangSong-Z02S"/>
            </w:rPr>
            <w:t>云计算对策划资源的整合</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_Toc24658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49</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D149EB8">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_Toc22006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6.2 全球化与绿色低碳驱动的商务策划转型方向</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_Toc22006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50</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7BF362B0">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_Toc546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6.2.1 全球化背景下商务策划的协同创新</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_Toc546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50</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CFD9E17">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_Toc6535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6.2.2 绿色低碳理念融入商务策划的实践路径</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_Toc6535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50</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F8AE7B1">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_Toc30218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6.2.3 新质生产力引领的策划模式升级</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_Toc30218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51</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359263B3">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_Toc21795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6.3 需求升级与用户体验导向的商务策划优化策略</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_Toc21795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51</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D6C1F02">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_Toc994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6.3.1 需求升级下的用户需求深度挖掘</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_Toc994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51</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68FC0F34">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_Toc21939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6.3.2 体验导向的策划方案设计</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_Toc21939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51</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54E9048">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_Toc16258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6.3.3 策划效果的动态评估与迭代机制</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_Toc16258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52</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785054F">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_Toc14337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6.4 科技服务型企业商务策划能力的体系化构建与未来展望</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_Toc14337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52</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135F559">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_Toc29103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6.4.1 组织架构的敏捷化转型</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_Toc29103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52</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728670EE">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_Toc19541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6.4.2 复合型策划人才的培养与储备</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_Toc19541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52</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2A3CD9A8">
          <w:pPr>
            <w:pStyle w:val="30"/>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_Toc4546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6.4.3 开放协同的技术生态构建</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_Toc4546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53</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91CF97F">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_Toc15375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6.5 总结与未来行动倡议</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_Toc15375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53</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42CA8F18">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_Toc7518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致谢</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_Toc7518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55</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178B4117">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_Toc10494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szCs w:val="24"/>
            </w:rPr>
            <w:t>附录</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_Toc10494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56</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254B583">
          <w:pPr>
            <w:pStyle w:val="27"/>
            <w:tabs>
              <w:tab w:val="right" w:leader="dot" w:pos="8640"/>
            </w:tabs>
            <w:rPr>
              <w:rFonts w:hint="eastAsia" w:ascii="FZFangSong-Z02S" w:hAnsi="FZFangSong-Z02S" w:eastAsia="FZFangSong-Z02S" w:cs="FZFangSong-Z02S"/>
            </w:rPr>
          </w:pPr>
          <w:r>
            <w:rPr>
              <w:rFonts w:hint="eastAsia" w:ascii="FZFangSong-Z02S" w:hAnsi="FZFangSong-Z02S" w:eastAsia="FZFangSong-Z02S" w:cs="FZFangSong-Z02S"/>
              <w:color w:val="000000"/>
              <w:kern w:val="44"/>
              <w:szCs w:val="24"/>
              <w:bdr w:val="none" w:sz="0" w:space="0"/>
              <w:lang w:bidi="ar-SA"/>
            </w:rPr>
            <w:fldChar w:fldCharType="begin"/>
          </w:r>
          <w:r>
            <w:rPr>
              <w:rFonts w:hint="eastAsia" w:ascii="FZFangSong-Z02S" w:hAnsi="FZFangSong-Z02S" w:eastAsia="FZFangSong-Z02S" w:cs="FZFangSong-Z02S"/>
              <w:kern w:val="44"/>
              <w:szCs w:val="24"/>
              <w:bdr w:val="none" w:sz="0" w:space="0"/>
              <w:lang w:bidi="ar-SA"/>
            </w:rPr>
            <w:instrText xml:space="preserve"> HYPERLINK \l _Toc18150 </w:instrText>
          </w:r>
          <w:r>
            <w:rPr>
              <w:rFonts w:hint="eastAsia" w:ascii="FZFangSong-Z02S" w:hAnsi="FZFangSong-Z02S" w:eastAsia="FZFangSong-Z02S" w:cs="FZFangSong-Z02S"/>
              <w:kern w:val="44"/>
              <w:szCs w:val="24"/>
              <w:bdr w:val="none" w:sz="0" w:space="0"/>
              <w:lang w:bidi="ar-SA"/>
            </w:rPr>
            <w:fldChar w:fldCharType="separate"/>
          </w:r>
          <w:r>
            <w:rPr>
              <w:rFonts w:hint="eastAsia" w:ascii="FZFangSong-Z02S" w:hAnsi="FZFangSong-Z02S" w:eastAsia="FZFangSong-Z02S" w:cs="FZFangSong-Z02S"/>
            </w:rPr>
            <w:t>附录A 商务策划常用工具模板</w:t>
          </w:r>
          <w:r>
            <w:rPr>
              <w:rFonts w:hint="eastAsia" w:ascii="FZFangSong-Z02S" w:hAnsi="FZFangSong-Z02S" w:eastAsia="FZFangSong-Z02S" w:cs="FZFangSong-Z02S"/>
            </w:rPr>
            <w:tab/>
          </w:r>
          <w:r>
            <w:rPr>
              <w:rFonts w:hint="eastAsia" w:ascii="FZFangSong-Z02S" w:hAnsi="FZFangSong-Z02S" w:eastAsia="FZFangSong-Z02S" w:cs="FZFangSong-Z02S"/>
            </w:rPr>
            <w:fldChar w:fldCharType="begin"/>
          </w:r>
          <w:r>
            <w:rPr>
              <w:rFonts w:hint="eastAsia" w:ascii="FZFangSong-Z02S" w:hAnsi="FZFangSong-Z02S" w:eastAsia="FZFangSong-Z02S" w:cs="FZFangSong-Z02S"/>
            </w:rPr>
            <w:instrText xml:space="preserve"> PAGEREF _Toc18150 \h </w:instrText>
          </w:r>
          <w:r>
            <w:rPr>
              <w:rFonts w:hint="eastAsia" w:ascii="FZFangSong-Z02S" w:hAnsi="FZFangSong-Z02S" w:eastAsia="FZFangSong-Z02S" w:cs="FZFangSong-Z02S"/>
            </w:rPr>
            <w:fldChar w:fldCharType="separate"/>
          </w:r>
          <w:r>
            <w:rPr>
              <w:rFonts w:hint="eastAsia" w:ascii="FZFangSong-Z02S" w:hAnsi="FZFangSong-Z02S" w:eastAsia="FZFangSong-Z02S" w:cs="FZFangSong-Z02S"/>
            </w:rPr>
            <w:t>56</w:t>
          </w:r>
          <w:r>
            <w:rPr>
              <w:rFonts w:hint="eastAsia" w:ascii="FZFangSong-Z02S" w:hAnsi="FZFangSong-Z02S" w:eastAsia="FZFangSong-Z02S" w:cs="FZFangSong-Z02S"/>
            </w:rPr>
            <w:fldChar w:fldCharType="end"/>
          </w:r>
          <w:r>
            <w:rPr>
              <w:rFonts w:hint="eastAsia" w:ascii="FZFangSong-Z02S" w:hAnsi="FZFangSong-Z02S" w:eastAsia="FZFangSong-Z02S" w:cs="FZFangSong-Z02S"/>
              <w:color w:val="000000"/>
              <w:kern w:val="44"/>
              <w:szCs w:val="24"/>
              <w:bdr w:val="none" w:sz="0" w:space="0"/>
              <w:lang w:bidi="ar-SA"/>
            </w:rPr>
            <w:fldChar w:fldCharType="end"/>
          </w:r>
        </w:p>
        <w:p w14:paraId="5D54CC31">
          <w:pPr>
            <w:widowControl w:val="0"/>
            <w:numPr>
              <w:ilvl w:val="0"/>
              <w:numId w:val="0"/>
            </w:numPr>
            <w:adjustRightInd w:val="0"/>
            <w:spacing w:before="320" w:line="300" w:lineRule="auto"/>
            <w:jc w:val="both"/>
            <w:outlineLvl w:val="9"/>
            <w:rPr>
              <w:rFonts w:hint="eastAsia" w:ascii="FZFangSong-Z02S" w:hAnsi="FZFangSong-Z02S" w:eastAsia="FZFangSong-Z02S" w:cs="FZFangSong-Z02S"/>
              <w:color w:val="000000"/>
              <w:kern w:val="44"/>
              <w:sz w:val="22"/>
              <w:szCs w:val="44"/>
              <w:bdr w:val="none" w:sz="0" w:space="0"/>
              <w:lang w:val="en-US" w:eastAsia="en-US" w:bidi="ar-SA"/>
            </w:rPr>
          </w:pPr>
          <w:r>
            <w:rPr>
              <w:rFonts w:hint="eastAsia" w:ascii="FZFangSong-Z02S" w:hAnsi="FZFangSong-Z02S" w:eastAsia="FZFangSong-Z02S" w:cs="FZFangSong-Z02S"/>
              <w:color w:val="000000"/>
              <w:kern w:val="44"/>
              <w:szCs w:val="24"/>
              <w:bdr w:val="none" w:sz="0" w:space="0"/>
              <w:lang w:bidi="ar-SA"/>
            </w:rPr>
            <w:fldChar w:fldCharType="end"/>
          </w:r>
        </w:p>
      </w:sdtContent>
    </w:sdt>
    <w:p w14:paraId="2D3C0107">
      <w:pPr>
        <w:widowControl w:val="0"/>
        <w:numPr>
          <w:ilvl w:val="0"/>
          <w:numId w:val="0"/>
        </w:numPr>
        <w:adjustRightInd w:val="0"/>
        <w:spacing w:before="320" w:line="300" w:lineRule="auto"/>
        <w:jc w:val="both"/>
        <w:outlineLvl w:val="9"/>
        <w:rPr>
          <w:rFonts w:hint="eastAsia" w:ascii="FZFangSong-Z02S" w:hAnsi="FZFangSong-Z02S" w:eastAsia="FZFangSong-Z02S" w:cs="FZFangSong-Z02S"/>
          <w:color w:val="000000"/>
          <w:kern w:val="44"/>
          <w:sz w:val="22"/>
          <w:szCs w:val="44"/>
          <w:bdr w:val="none" w:sz="0" w:space="0"/>
          <w:lang w:val="en-US" w:eastAsia="en-US" w:bidi="ar-SA"/>
        </w:rPr>
        <w:sectPr>
          <w:pgSz w:w="12240" w:h="15840"/>
          <w:pgMar w:top="1440" w:right="1800" w:bottom="1440" w:left="1800" w:header="720" w:footer="720" w:gutter="0"/>
          <w:cols w:space="720" w:num="1"/>
          <w:docGrid w:linePitch="360" w:charSpace="0"/>
        </w:sectPr>
      </w:pPr>
    </w:p>
    <w:p w14:paraId="3A3DCBF5">
      <w:pPr>
        <w:pStyle w:val="3"/>
        <w:numPr>
          <w:ilvl w:val="0"/>
          <w:numId w:val="0"/>
        </w:numPr>
        <w:ind w:left="440" w:leftChars="0" w:firstLine="0" w:firstLineChars="0"/>
        <w:rPr>
          <w:rFonts w:hint="eastAsia" w:ascii="SimHei" w:hAnsi="SimHei" w:eastAsia="SimHei" w:cs="SimHei"/>
          <w:b w:val="0"/>
          <w:bdr w:val="none" w:sz="0" w:space="0"/>
        </w:rPr>
      </w:pPr>
      <w:bookmarkStart w:id="0" w:name="_Toc27834"/>
      <w:r>
        <w:rPr>
          <w:rFonts w:hint="eastAsia" w:ascii="SimHei" w:hAnsi="SimHei" w:eastAsia="SimHei" w:cs="SimHei"/>
          <w:b w:val="0"/>
          <w:color w:val="000000"/>
          <w:kern w:val="44"/>
          <w:sz w:val="32"/>
          <w:szCs w:val="44"/>
          <w:bdr w:val="none" w:sz="0" w:space="0"/>
          <w:lang w:bidi="ar-SA"/>
        </w:rPr>
        <w:t>第一章</w:t>
      </w:r>
      <w:r>
        <w:t>科技服务型企业的商务策划概述</w:t>
      </w:r>
      <w:bookmarkEnd w:id="0"/>
    </w:p>
    <w:p w14:paraId="299B7EF4">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本章作为《科技服务型企业商务策划：原则、方法与实践》课程的开篇章节，将系统梳理商务策划的基础理论框架，明确科技服务型企业的核心特征与行业发展现状，为整个课程搭建起完整的知识入门体系。</w:t>
      </w:r>
    </w:p>
    <w:p w14:paraId="7D90DE14">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理论层面，本章将首先厘清商务策划的核心内涵与本质，明确其核心构成要素，同时区分商务策划与战略规划、运营计划等其他管理活动的区别与联系，帮助学习者建立对商务策划的准确认知；在此基础上，本章将梳理商务策划从原始社会、奴隶社会初期、春秋战国时期、封建社会时期、改革开放时期的完整起源与发展脉络，以及20世纪80年代中期~90年代初期的自发阶段（“点子时代”）、20世纪90年代中后期的自觉阶段（“战术策划时代”）、21世纪以来的学科建设和职业化阶段（“战略策划时代”）的阶段特征，结合科技服务领域的特殊性，深入分析该领域商务策划的独特属性，解释为何传统的商务策划方法无法完全适配科技服务企业的需求，为后续的针对性学习做好铺垫。</w:t>
      </w:r>
    </w:p>
    <w:p w14:paraId="7C55BA79">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方法体系上，本章将介绍商务策划的参与主体与组织保障机制，详细阐述企业决策层、策划团队、跨部门协同以及外部咨询机构在策划过程中的角色与职责，帮助学习者理解策划工作的组织逻辑，同时明确本课程的知识目标、能力目标与教学安排，介绍理论学习、案例研讨与实践训练相结合的学习方法，为后续的学习搭建清晰的路径。</w:t>
      </w:r>
    </w:p>
    <w:p w14:paraId="391EC94B">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实践场景方面，本章将结合当前我国科技服务行业的发展现状——据2024年相关行业报告显示，2023年国内科技服务行业收入已增长到8.55万亿元，2022年行业增加值达29228.2亿元，市场规模持续扩张但竞争格局也愈发复杂，深入分析企业面临的技术迭代加速、客户需求个性化、同质化竞争等多重市场挑战：当前行业参与者众多，市场分散，既有国内不同类型服务主体的竞争，也有国外具备先进技术和成熟模式的科技服务企业进入国内市场带来的冲击，同时云计算、大数据等新一代信息技术的应用推动行业技术创新不断加快，生物医药、新材料等细分领域需求的个性化特征也愈发凸显。</w:t>
      </w:r>
    </w:p>
    <w:p w14:paraId="2135D3E6">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通过真实的行业案例，比如部分综合服务企业凭借商务策划明确全流程服务的市场定位，在激烈竞争中脱颖而出，展现商务策划在企业应对挑战、明确市场定位、优化资源配置中的实际作用，帮助学习者建立对商务策划的直观认知，理解其在科技服务企业中的核心价值，为后续章节的深入学习奠定坚实的基础。</w:t>
      </w:r>
    </w:p>
    <w:p w14:paraId="1F32B9FD">
      <w:pPr>
        <w:pStyle w:val="4"/>
        <w:numPr>
          <w:ilvl w:val="0"/>
          <w:numId w:val="7"/>
        </w:numPr>
        <w:ind w:left="0" w:leftChars="0" w:firstLine="0" w:firstLineChars="0"/>
        <w:rPr>
          <w:b w:val="0"/>
          <w:bdr w:val="none" w:sz="0" w:space="0"/>
        </w:rPr>
        <w:sectPr>
          <w:footerReference r:id="rId6" w:type="default"/>
          <w:pgSz w:w="12240" w:h="15840"/>
          <w:pgMar w:top="1440" w:right="1800" w:bottom="1440" w:left="1800" w:header="720" w:footer="720" w:gutter="0"/>
          <w:pgNumType w:fmt="decimal" w:start="1"/>
          <w:cols w:space="720" w:num="1"/>
          <w:docGrid w:linePitch="360" w:charSpace="0"/>
        </w:sectPr>
      </w:pPr>
      <w:bookmarkStart w:id="1" w:name="_Toc13368"/>
    </w:p>
    <w:p w14:paraId="0368A9CF">
      <w:pPr>
        <w:pStyle w:val="4"/>
        <w:numPr>
          <w:ilvl w:val="0"/>
          <w:numId w:val="7"/>
        </w:numPr>
        <w:ind w:left="0" w:leftChars="0" w:firstLine="0" w:firstLineChars="0"/>
        <w:rPr>
          <w:b w:val="0"/>
          <w:bdr w:val="none" w:sz="0" w:space="0"/>
        </w:rPr>
      </w:pPr>
      <w:r>
        <w:t>商务策划的核心内涵与本质</w:t>
      </w:r>
      <w:bookmarkEnd w:id="1"/>
    </w:p>
    <w:p w14:paraId="415E5F39">
      <w:pPr>
        <w:pStyle w:val="5"/>
        <w:widowControl/>
        <w:numPr>
          <w:ilvl w:val="0"/>
          <w:numId w:val="8"/>
        </w:numPr>
        <w:ind w:left="0" w:leftChars="0" w:firstLine="0" w:firstLineChars="0"/>
        <w:rPr>
          <w:rFonts w:hint="eastAsia" w:ascii="SimHei" w:hAnsi="SimHei" w:eastAsia="SimHei" w:cs="SimHei"/>
          <w:b w:val="0"/>
          <w:bdr w:val="none" w:sz="0" w:space="0"/>
        </w:rPr>
      </w:pPr>
      <w:bookmarkStart w:id="2" w:name="_Toc31022"/>
      <w:r>
        <w:t>商务策划的定义与核心要素</w:t>
      </w:r>
      <w:bookmarkEnd w:id="2"/>
    </w:p>
    <w:p w14:paraId="6F0B3F98">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商务策划是指企业为了实现特定的经营目标，在充分调研内外部环境的基础上，运用科学的方法与工具，对企业的经营活动进行系统地规划、设计与安排，从而制定出最优的行动方案的过程。与一般的计划不同，商务策划更强调创新性、系统性与前瞻性，它不是对现有工作的简单安排，而是通过对资源的整合与优化，创造出新的价值，帮助企业在复杂的市场环境中获得竞争优势。</w:t>
      </w:r>
    </w:p>
    <w:p w14:paraId="47570DEC">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对于科技服务型企业而言，商务策划的定义有着更丰富的内涵。据2025年科技服务行业市场调研报告显示，科技服务行业具有技术含量高、人才要求高、市场需求快速变化的特点，其核心资产正是技术与人才。同时，2023年我国科技服务行业收入已达85543.4亿元，且行业以需求为导向的高新技术为主要发展力量，客户需求呈现出高度个性化的特征，服务的交付过程往往伴随着高度的不确定性。这就要求商务策划不仅要关注市场与客户，还要关注技术的发展与人才的培养，要能够在技术的不确定性与市场的需求之间找到平衡，从而制定出既符合技术发展规律，又能够满足市场需求的行动方案。</w:t>
      </w:r>
    </w:p>
    <w:p w14:paraId="6EF6BA4F">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商务策划的核心要素主要包括目标、信息、方法、资源与执行五个部分，这五个要素相互关联，共同构成了商务策划的完整体系。首先是目标，目标是商务策划的出发点与归宿，所有的策划工作都是围绕着实现特定的目标展开的，没有明确的目标，策划工作就会失去方向，变成无的放矢。</w:t>
      </w:r>
    </w:p>
    <w:p w14:paraId="61C199A1">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对于科技服务企业而言，目标的设定需要兼顾短期的业绩目标与长期的发展目标，既要考虑当前的市场拓展与收入增长，也要考虑技术的研发与能力的积累，避免为了短期的利益而牺牲长期的发展潜力。其次是信息，信息是商务策划的基础，策划的准确性与有效性，很大程度上取决于信息的全面性、精准性与时效性，只有充分掌握了内外部的信息，才能够准确地判断市场的趋势，识别企业的优势与劣势，从而制定出合理的策划方案。</w:t>
      </w:r>
    </w:p>
    <w:p w14:paraId="6963D689">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第三个核心要素是方法，它是商务策划的工具，科学的方法能够帮助策划人员更高效地处理信息，分析问题，制定方案。在传统的商务策划中，常用的方法包括SWOT分析、PEST分析、市场调研等，而在科技服务领域，由于技术的快速迭代与市场的快速变化，还需要引入一些新的方法，比如敏捷策划、快速原型法等，这些方法能够帮助企业更快响应市场变化，调整策划方案，适配动态市场环境。第四个核心要素是资源，资源是商务策划的保障，任何策划方案的落地都需要相应的资源作为支撑，包括资金、人才、技术、渠道等，缺乏足够资源，再好的策划方案也只能是空中楼阁，无法落地。对于科技服务企业而言，资源的整合尤为重要，因为科技服务企业往往自身的资源有限，需通过整合外部资源，比如与高校、科研机构合作，与产业链上下游企业协同，弥补自身短板，从而保障策划方案的顺利实施。</w:t>
      </w:r>
    </w:p>
    <w:p w14:paraId="75E74343">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第五个核心要素是执行，执行是商务策划的落脚点，策划方案制定得再好，若无法有效执行，也难以达成预期目标。商务策划不是一次性的工作，而是一个持续的过程，在执行的过程中，需要不断地监测执行的情况，根据市场的变化与执行的反馈，及时地调整策划方案，确保方案始终符合实际的情况，能够实现预期的目标。对于科技服务企业而言，由于市场与技术的变化速度非常快，执行过程中的调整就显得尤为重要，很多科技服务企业的策划方案在制定的时候是合理的，但是在执行的过程中，由于市场的变化，原来的方案已经不再适用，如果不能够及时地调整，就会导致策划的失败。</w:t>
      </w:r>
    </w:p>
    <w:p w14:paraId="74F4C8A7">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正如参考资料中提到的某知名互联网公司，在快速扩张期制定了多元化战略，却因对市场需求了解不足，且面对市场竞争压力时战略调整迟缓，未能及时适应市场变化，最终导致战略失败，造成了资源浪费和亏损。因此，在商务策划的过程中，必须建立起有效的执行与反馈机制，确保策划方案能够根据实际的情况进行动态的调整，从而保障目标的实现。</w:t>
      </w:r>
    </w:p>
    <w:p w14:paraId="7BDB6FEE">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这五个核心要素之间并不是孤立的，而是相互影响、相互支撑的，目标锚定信息收集的方向，信息支撑方法的选定，方法决定资源的配置，资源影响执行的成效，而执行反馈又会反向优化目标、信息、方法与资源，形成完整的动态闭环体系。只有当这五个要素都能够有效地协同运作的时候，商务策划才能够发挥出最大的作用，帮助企业实现经营目标。对于科技服务型企业而言，由于其业务的特殊性，这五个要素的协同就显得更加重要，因为科技服务企业的业务往往涉及多个领域，多个主体，只有通过有效的协同，才能够整合各方的资源，实现策划的目标。比如，在智联科技的预测性维护平台的策划过程中，企业首先明确了“解决传统制造业设备维护痛点”的目标，然后收集了大量的制造业设备维护的相关信息，运用了物联网与AI的相关技术方法，整合了自身的技术资源与制造业的客户资源，然后通过有效地执行，不断地根据客户的反馈调整产品与服务，最终实现了策划的目标，这就是五个要素协同运作的典型案例。</w:t>
      </w:r>
    </w:p>
    <w:p w14:paraId="25FFA9D1">
      <w:pPr>
        <w:pStyle w:val="5"/>
        <w:widowControl/>
        <w:numPr>
          <w:ilvl w:val="0"/>
          <w:numId w:val="8"/>
        </w:numPr>
        <w:ind w:left="0" w:leftChars="0" w:firstLine="0" w:firstLineChars="0"/>
        <w:rPr>
          <w:rFonts w:hint="eastAsia" w:ascii="SimHei" w:hAnsi="SimHei" w:eastAsia="SimHei" w:cs="SimHei"/>
          <w:b w:val="0"/>
          <w:bdr w:val="none" w:sz="0" w:space="0"/>
        </w:rPr>
      </w:pPr>
      <w:bookmarkStart w:id="3" w:name="_Toc10799"/>
      <w:r>
        <w:t>商务策划与战略规划的区别与联系</w:t>
      </w:r>
      <w:bookmarkEnd w:id="3"/>
    </w:p>
    <w:p w14:paraId="203176E6">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在企业的管理实践中，很多人会将商务策划与战略规划混淆，认为二者是同一个概念，实际上，二者既有密切的联系，也有明显的区别，明确二者的区别与联系，能够帮助我们更好地理解商务策划的本质。首先，从联系的角度来看，战略规划是商务策划的指导，商务策划是战略规划的落地，战略规划明确了企业长期的发展方向与目标，而商务策划则是为了实现这些目标，制定具体的行动方案，将长期的战略目标分解为短期的可执行的行动。事实上，中国商务策划科学的形成过程就融合了西方战略计划的理念，且自21世纪以来商务策划进入“战略策划时代”，战略策划已成为现代商务策划的核心领域之一，充分体现了二者相辅相成的紧密关系。对于科技服务企业而言，战略规划往往是3—5年的长期规划，明确了企业的技术方向、市场定位与发展目标，而商务策划则是每年或者每个项目的具体规划，将战略的目标落实到具体的业务活动中，确保企业的每一项活动都能够朝着战略的方向前进。</w:t>
      </w:r>
    </w:p>
    <w:p w14:paraId="454FBEBF">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从区别的角度来看，首先是时间维度的区别，战略规划是长期的，通常是3—5年甚至更长的时间，它关注的是企业长期的发展方向，而商务策划则是中期或者短期的，通常是1年或者更短的时间，它关注的是企业当前的经营活动，如何在当前的市场环境下，实现短期的目标，同时为长期的战略目标奠定基础。其次是内容维度的区别，战略规划的内容是宏观的、全局的，它关注的是企业的整体定位（包括功能、客户与市场、产业链等多维度定位）、业务布局、资源的长期配置，还包含企业的使命愿景、核心竞争力建设、价值链战略等宏观方向的规划；而商务策划的内容则是微观的、具体的，它是将战略的宏观目标转化为具体的行动步骤，关注的是具体的业务活动，比如某个产品的推广、某个项目的实施、某个客户的开发，也包含对具体项目的商业模式、财务计划、运营安排等细节内容的策划。</w:t>
      </w:r>
    </w:p>
    <w:p w14:paraId="6BDAC61A">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第三个区别是视角的区别，战略规划是自上而下的，它是从企业的整体出发，考虑企业的全局利益，而商务策划则是自下而上的，它是从具体的业务出发，考虑具体的业务如何实现目标，同时如何支撑企业的全局战略。比如，企业的战略规划是成为工业智能运维的领导者，这是一个宏观全局的目标，而商务策划则是针对某个具体的制造行业，制定具体的产品推广方案，客户开发方案，将这个宏观的目标落实到具体的行动中。对于科技服务企业而言，这种区别尤为明显，因为科技服务企业技术迭代快、市场变化快，战略规划需要保持相对的稳定，而商务策划则需要保持足够的灵活性，能够根据市场的变化及时调整，确保企业的战略能够在动态的市场环境中得到落实。</w:t>
      </w:r>
    </w:p>
    <w:p w14:paraId="5881169C">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第四个区别是面对的不确定性不同，战略规划面对的是长期的不确定性，它需要对未来的市场与技术的趋势进行预判，进而明确长期发展方向，而商务策划面对的则是短期的不确定性，它需要在当前的市场环境下，解决具体的问题，制定具体的方案。比如，战略规划需要预判未来5年工业互联网的发展趋势，从而确定企业的技术研发方向，而商务策划则需要在当前的市场环境下，解决如何将现有的产品推广给客户，如何解决客户的具体问题，如何实现当前的业绩目标。这就导致了二者的方法也有所不同，战略规划更多的是使用趋势分析、情景分析等长期的分析方法，而商务策划则更多的是使用市场调研、客户分析、资源配置等短期的方法。</w:t>
      </w:r>
    </w:p>
    <w:p w14:paraId="61BDE9C7">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明确二者的区别与联系，对于科技服务企业的管理者而言有着重要的意义，很多企业在管理的过程中，要么是只关注战略规划，而忽略了商务策划，就像中建集团在管理中重点把控的商务策划包含投标价格汇总及合同条款分析、二三次经营策划等关键内容，缺失这些内容会导致战略无法落地，变成空中楼阁；要么是只关注商务策划，而忽略了战略规划，而战略规划是决定企业经营活动成败的关键性因素，能帮助企业明确核心竞争力、找准市场定位，缺失战略规划会导致企业的经营活动失去方向，变成短视的行为，只关注短期的利益，而忽略了长期的发展。比如，很多科技服务企业在创业的初期，只关注短期的项目，关注如何拿到订单，如何实现短期的收入，而没有明确的战略规划，也没有将商务策划与战略结合起来，导致企业发展到一定的阶段，就遇到了瓶颈，无法实现进一步的突破。而诺海通公司在创业阶段便妥善平衡了二者关系：首先确立“成为通信技术服务领域领先者”的战略目标，随后每一项商务策划均围绕该目标制定具体行动方案，兼顾短期项目落地与长期能力积淀，最终实现了企业的持续稳健成长，为行业提供了可借鉴的范本。</w:t>
      </w:r>
    </w:p>
    <w:p w14:paraId="4AA79A83">
      <w:pPr>
        <w:pStyle w:val="5"/>
        <w:widowControl/>
        <w:numPr>
          <w:ilvl w:val="0"/>
          <w:numId w:val="8"/>
        </w:numPr>
        <w:ind w:left="0" w:leftChars="0" w:firstLine="0" w:firstLineChars="0"/>
        <w:rPr>
          <w:rFonts w:hint="eastAsia" w:ascii="SimHei" w:hAnsi="SimHei" w:eastAsia="SimHei" w:cs="SimHei"/>
          <w:b w:val="0"/>
          <w:bdr w:val="none" w:sz="0" w:space="0"/>
        </w:rPr>
      </w:pPr>
      <w:bookmarkStart w:id="4" w:name="_Toc24816"/>
      <w:r>
        <w:t>商务策划的基本功能与价值</w:t>
      </w:r>
      <w:bookmarkEnd w:id="4"/>
      <w:r>
        <w:t xml:space="preserve">  </w:t>
      </w:r>
    </w:p>
    <w:p w14:paraId="17F69061">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 xml:space="preserve">商务策划对科技服务型企业的发展具有多维度的核心功能与价值，具体体现在以下几个方面：  </w:t>
      </w:r>
    </w:p>
    <w:p w14:paraId="5870845B">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 xml:space="preserve">其一，方向引导功能。科技服务行业技术迭代快、市场需求分散，商务策划能够帮助企业在复杂环境中锚定清晰的业务方向。例如，某生物医药CRO企业通过商务策划深度分析细分领域需求，聚焦肿瘤免疫治疗药物的临床前研究服务，避开了传统化药研发服务的激烈竞争，在细分赛道建立了先发优势，两年内市场份额提升15%。这种方向引导不仅明确了企业资源投入的重点，更让团队形成统一的目标认知，避免战略漂移。  </w:t>
      </w:r>
    </w:p>
    <w:p w14:paraId="5E009552">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 xml:space="preserve">其二，资源整合功能。科技服务企业的核心资源往往分散在技术、人才、渠道等多个维度，商务策划能够系统性整合内外部资源，实现资源效用最大化。以某新材料检测服务企业为例，其通过商务策划与3家高校材料实验室、5家行业协会达成合作，共享高端检测设备与行业数据资源，既降低了自身设备采购成本，又提升了服务的技术权威性，服务订单量同比增长20%。对于资源有限的中小科技服务企业而言，这种整合能力是突破发展瓶颈的关键。  </w:t>
      </w:r>
    </w:p>
    <w:p w14:paraId="7833C9B0">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 xml:space="preserve">其三，风险规避功能。科技服务项目常面临技术不确定性、客户需求变更等风险，商务策划通过前期调研与方案论证，可提前识别并缓释风险。某AI工业视觉解决方案企业在为汽车零部件厂商制定服务策划时，通过市场调研预判到客户对检测精度的更高要求，提前联合算法团队优化模型，避免了项目交付后因技术不达标导致的合同纠纷，保障了项目利润率。  </w:t>
      </w:r>
    </w:p>
    <w:p w14:paraId="6A1629CD">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 xml:space="preserve">其四，价值创造功能。商务策划通过创新商业模式或服务模式，为企业与客户创造双重价值。例如，某工业互联网平台企业推出“设备健康管理+按效果付费”的商务策划方案：客户无需前期投入硬件成本，仅根据设备故障减少率支付服务费用。该模式既降低了客户的决策门槛，又让企业的收益与客户价值绑定，实现了双方共赢，一年内平台活跃客户数增长30%。  </w:t>
      </w:r>
    </w:p>
    <w:p w14:paraId="3932A3A9">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 xml:space="preserve">从长期价值来看，商务策划是科技服务企业构建核心竞争力的重要工具。它通过持续优化业务逻辑、迭代服务模式，帮助企业形成差异化优势，如某云计算服务商通过商务策划推出针对制造企业的定制化私有云解决方案，凭借灵活的部署模式与行业专属服务，成为长三角地区制造企业的首选云服务提供商，品牌溢价率达25%。  </w:t>
      </w:r>
    </w:p>
    <w:p w14:paraId="37C23734">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综上，商务策划的功能与价值贯穿科技服务企业的全生命周期，从方向确立到资源整合，从风险控制到价值创造，为企业应对市场挑战、实现可持续发展提供了坚实支撑，也为后续章节探讨商务策划的具体方法与实践奠定了认知基础。</w:t>
      </w:r>
    </w:p>
    <w:p w14:paraId="17B62B4F">
      <w:pPr>
        <w:pStyle w:val="5"/>
        <w:widowControl/>
        <w:numPr>
          <w:ilvl w:val="0"/>
          <w:numId w:val="8"/>
        </w:numPr>
        <w:ind w:left="0" w:leftChars="0" w:firstLine="0" w:firstLineChars="0"/>
        <w:rPr>
          <w:rFonts w:hint="eastAsia" w:ascii="SimHei" w:hAnsi="SimHei" w:eastAsia="SimHei" w:cs="SimHei"/>
          <w:b w:val="0"/>
          <w:bdr w:val="none" w:sz="0" w:space="0"/>
        </w:rPr>
      </w:pPr>
      <w:bookmarkStart w:id="5" w:name="_Toc17166"/>
      <w:r>
        <w:t>商务策划的基本原则雏形</w:t>
      </w:r>
      <w:bookmarkEnd w:id="5"/>
    </w:p>
    <w:p w14:paraId="5611F505">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商务策划的基本原则是策划工作的基本准则，它是在长期的策划实践中总结出来的，是保障策划工作有效性的基础，在后续的章节中，我们会详细地介绍这些原则，在这里，我们先对这些原则进行一个初步的介绍，帮助学习者建立一个初步的认知。首先，商务策划需要遵循创新原则，因为在当前的市场环境下，同质化的竞争非常激烈，只有通过创新，才能够创造出新的价值，获得竞争优势，尤其是在科技服务领域，技术的创新是企业的核心竞争力，商务策划必须围绕着创新来展开，帮助企业将技术的创新转化为市场的价值。</w:t>
      </w:r>
    </w:p>
    <w:p w14:paraId="401EAAA4">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其次是客户导向原则，商务策划的最终目的是满足客户的需求，为客户创造价值，只有满足了客户的需求，企业才能够获得收入，实现发展，因此，所有的策划工作都必须以客户的需求为核心，从客户的需求出发，设计产品与服务，而不是从企业的技术出发，闭门造车。这一点对于科技服务企业而言尤为重要，很多科技服务企业的技术人员往往会陷入技术的误区，认为自己的技术很先进，就一定有市场，但是实际上，技术的先进并不代表能够满足客户的需求，只有以客户的需求为导向，才能够制定出有效的策划方案。</w:t>
      </w:r>
    </w:p>
    <w:p w14:paraId="6D723C4E">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除此之外，商务策划还需要遵循系统性原则、可行性原则、可持续发展原则与动态调整原则，这些原则我们会在后续的章节中详细地介绍，在这里，我们可以通过商务策划的流程图，直观地了解这些原则是如何体现在策划的流程中的。如图1_1所示，商务策划的完整流程包含了七个核心环节，形成了一套完整的闭环逻辑：首先是策划调查，需精准分析环境、策划对象与消费者动态，为策划打下基础；接着确立策划目标，明确活动方向；随后确定策划主题与创意，统率策划内容；之后编制详细的策划方案与实施计划，明确执行细节；进入落地执行阶段后要同步跟踪监控，及时调整策略；再通过效果评估与总结，复盘经验教训；最后开展后续服务与持续优化，维持品牌竞争力。</w:t>
      </w:r>
    </w:p>
    <w:p w14:paraId="4D8869A5">
      <w:pPr>
        <w:jc w:val="center"/>
      </w:pPr>
      <w:r>
        <w:drawing>
          <wp:inline distT="0" distB="0" distL="114300" distR="114300">
            <wp:extent cx="2866390" cy="26092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2866390" cy="2609215"/>
                    </a:xfrm>
                    <a:prstGeom prst="rect">
                      <a:avLst/>
                    </a:prstGeom>
                  </pic:spPr>
                </pic:pic>
              </a:graphicData>
            </a:graphic>
          </wp:inline>
        </w:drawing>
      </w:r>
    </w:p>
    <w:p w14:paraId="7C8FB946">
      <w:pPr>
        <w:pStyle w:val="169"/>
        <w:widowControl/>
      </w:pPr>
      <w:r>
        <w:t>图1_1 商务策划的程序与步骤</w:t>
      </w:r>
    </w:p>
    <w:p w14:paraId="203B0069">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注：本图展示了商务策划的完整流程，涵盖了从信息收集到方案调整的全流程环节，清晰呈现了策划工作的闭环逻辑。</w:t>
      </w:r>
    </w:p>
    <w:p w14:paraId="27199F3C">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该流程图清晰地呈现了商务策划的七个核心步骤，首先是项目市场调查，通过宏观商业环境、项目自身状态与消费取向的调研，为策划提供全面详尽的基础信息。这一环节需遵循科学的调研方法，比如问卷调查、深度访谈、网络调研等，充分洞察消费者需求和心理，体现了客户导向原则。就像联华超市差异化营销项目策划中，先从政治、经济、文化、科技四个方面查询零售业宏观信息，同时开展消费者调查等，最终制定的策划案取得了成功的销售业绩，通过这类对客户需求的扎实调研，能切实确保策划的方向符合客户的需求；</w:t>
      </w:r>
    </w:p>
    <w:p w14:paraId="28071B7E">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随后是调查结果分析，运用SWOT等工具对信息进行分析，明确项目的现状，这一环节体现了系统性原则。就像参考资料中提到的，SWOT分析能从优势、劣势、机会、威胁四个维度，对项目内外部环境进行拆解分析：比如在项目启动阶段，可通过它明确团队经验丰富、技术实力强的优势，以及项目时间紧张的劣势，同时捕捉市场需求强劲的机会和行业技术迭代快的威胁；在小型餐饮项目策划中，也能借助它分析出品牌知名度低的内部劣势，以及消费者健康饮食需求增长的外部机会。通过这样系统的分析，能够全面地了解项目的内外部情况。；</w:t>
      </w:r>
    </w:p>
    <w:p w14:paraId="0BE5E662">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接下来是确定项目定位，从概念、价格、通路等维度明确项目的市场定位，这一环节体现了可行性原则，确保项目定位匹配企业资源与市场实际；之后是提出营销策略，设计具体的营销行动方案，这一环节体现了创新原则，比如可以参考某快时尚品牌的数字化营销，通过社交媒体发布内容、大数据分析精准推送扩大市场份额；或是借鉴可口可乐昵称瓶策略，贴合年轻消费者个性化需求打造独特营销方案；也可以学习某打印机企业的个性化定制服务，打造差异化产品，通过这类创新的策略，帮助企业获得竞争优势；</w:t>
      </w:r>
    </w:p>
    <w:p w14:paraId="61CB1E16">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再然后是设计推广策略，制定市场推广的具体计划，这一环节体现了资源的优化配置，确保推广的资源能够得到有效地利用；随后是分析执行策略，明确执行的具体安排与资源配置，这一环节体现了落地可行性原则，确保方案可高效落地；最后是总结调整策略，根据执行的反馈调整方案，形成完整的闭环，这一环节体现了动态调整原则，确保方案能随市场变化及时优化。</w:t>
      </w:r>
    </w:p>
    <w:p w14:paraId="6B57C08B">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这个流程与我们之前提到的商务策划的五个核心要素是相互对应的，市场调查对应信息收集，定位与策略对应目标与方法，执行对应资源与执行，总结调整对应反馈机制，完整地展现了商务策划的闭环体系，帮助学习者直观地理解商务策划的完整过程。</w:t>
      </w:r>
    </w:p>
    <w:p w14:paraId="7BE51706">
      <w:pPr>
        <w:pStyle w:val="4"/>
        <w:widowControl/>
        <w:numPr>
          <w:ilvl w:val="0"/>
          <w:numId w:val="7"/>
        </w:numPr>
        <w:ind w:left="0" w:leftChars="0" w:firstLine="0" w:firstLineChars="0"/>
        <w:rPr>
          <w:b w:val="0"/>
          <w:bdr w:val="none" w:sz="0" w:space="0"/>
        </w:rPr>
      </w:pPr>
      <w:bookmarkStart w:id="6" w:name="_Toc7810"/>
      <w:r>
        <w:t>科技服务型企业商务策划的行业特性与实践导向</w:t>
      </w:r>
      <w:bookmarkEnd w:id="6"/>
      <w:r>
        <w:t xml:space="preserve">  </w:t>
      </w:r>
    </w:p>
    <w:p w14:paraId="624F7E52">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科技服务型企业作为知识密集、技术驱动的特殊业态，其商务策划既需遵循通用商务策划的基本原则，又需结合行业自身的技术迭代快、服务定制化程度高、客户需求动态变化等特点，形成具有行业针对性的策划逻辑。与传统制造或贸易企业相比，科技服务企业的商务策划更强调技术与市场的深度融合——技术创新是策划的核心引擎，而市场需求则是策划的最终落脚点。例如，某工业软件服务企业在策划过程中，需将其核心算法优势与制造企业的生产流程优化需求紧密结合，通过定制化的解决方案策划，实现技术价值向商业价值的转化。同时，科技服务企业的商务策划还需兼顾服务的可扩展性与客户的长期合作关系，因为这类企业的核心资产往往是技术能力与客户信任，策划方案需围绕这两点构建可持续的业务模式。本节的探讨为后续第二章深入分析科技服务型企业商务策划的核心原则奠定了行业背景基础，明确了从通用原则到行业特定原则的延伸逻辑。</w:t>
      </w:r>
    </w:p>
    <w:p w14:paraId="0758EC33">
      <w:pPr>
        <w:pStyle w:val="3"/>
        <w:widowControl/>
      </w:pPr>
      <w:bookmarkStart w:id="7" w:name="_Toc2026"/>
      <w:r>
        <w:t>全章总结</w:t>
      </w:r>
      <w:bookmarkEnd w:id="7"/>
    </w:p>
    <w:p w14:paraId="7F284F50">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本章围绕科技服务型企业商务策划的核心内容展开系统阐述，首先明确了商务策划的定义与核心要素，通过对比战略规划，从层次、内容、视角及面对的不确定性四个维度剖析了二者的区别与联系，揭示了商务策划作为战略落地关键支撑的独特价值。接着，从方向引导、资源整合、风险规避、价值创造四个维度，结合行业案例论证了商务策划对科技服务企业的核心功能与长期价值，指出其是企业构建差异化竞争力的重要工具。最后，初步介绍了商务策划的基本原则雏形及闭环流程，为后续深入探讨具体方法与实践奠定了理论基础。本章内容旨在帮助读者建立对科技服务型企业商务策划的整体认知，理解其在企业经营中的关键作用，为后续章节的实践应用提供清晰的逻辑框架与理论支撑。</w:t>
      </w:r>
    </w:p>
    <w:p w14:paraId="6CF0DBF7">
      <w:pPr>
        <w:rPr>
          <w:rFonts w:hint="eastAsia" w:cs="Times New Roman"/>
          <w:b w:val="0"/>
          <w:sz w:val="24"/>
          <w:szCs w:val="24"/>
          <w:lang w:val="en-US" w:eastAsia="zh-CN"/>
        </w:rPr>
      </w:pPr>
      <w:r>
        <w:rPr>
          <w:rFonts w:hint="eastAsia" w:cs="Times New Roman"/>
          <w:b w:val="0"/>
          <w:sz w:val="24"/>
          <w:szCs w:val="24"/>
          <w:lang w:val="en-US" w:eastAsia="zh-CN"/>
        </w:rPr>
        <w:br w:type="page"/>
      </w:r>
    </w:p>
    <w:p w14:paraId="61039F89">
      <w:pPr>
        <w:pStyle w:val="3"/>
        <w:numPr>
          <w:ilvl w:val="0"/>
          <w:numId w:val="0"/>
        </w:numPr>
        <w:ind w:left="440" w:leftChars="0" w:firstLine="0" w:firstLineChars="0"/>
        <w:rPr>
          <w:rFonts w:hint="eastAsia" w:ascii="SimHei" w:hAnsi="SimHei" w:eastAsia="SimHei" w:cs="SimHei"/>
          <w:b w:val="0"/>
          <w:bdr w:val="none" w:sz="0" w:space="0"/>
        </w:rPr>
      </w:pPr>
      <w:bookmarkStart w:id="8" w:name="_Toc5333"/>
      <w:r>
        <w:rPr>
          <w:rFonts w:hint="eastAsia" w:ascii="SimHei" w:hAnsi="SimHei" w:eastAsia="SimHei" w:cs="SimHei"/>
          <w:b w:val="0"/>
          <w:color w:val="000000"/>
          <w:kern w:val="44"/>
          <w:sz w:val="32"/>
          <w:szCs w:val="44"/>
          <w:bdr w:val="none" w:sz="0" w:space="0"/>
          <w:lang w:bidi="ar-SA"/>
        </w:rPr>
        <w:t>第二章</w:t>
      </w:r>
      <w:r>
        <w:t>科技服务型企业商务策划的核心原则</w:t>
      </w:r>
      <w:bookmarkEnd w:id="8"/>
    </w:p>
    <w:p w14:paraId="72EAB2A0">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本章将深入介绍科技服务型企业商务策划的六大核心原则，这些原则是策划工作的基本准则，是保障策划效能的核心基础，亦是本课程的核心理论支撑。</w:t>
      </w:r>
    </w:p>
    <w:p w14:paraId="2A80323F">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理论层面，本章将系统阐述创新、客户导向、可持续发展、系统性、可行性与动态调整这六大原则的核心内涵，解释这些原则的理论基础，以及它们在商务策划中的作用，帮助学习者理解这些原则的必要性，以及其对保障策划效能的作用机制。</w:t>
      </w:r>
    </w:p>
    <w:p w14:paraId="17F4E8A8">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方法体系上，本章将介绍这些原则的具体实施方法，比如创新原则下的技术与服务创新的协同方法，客户导向原则下的需求挖掘方法，系统性原则下的资源整合方法等，帮助学习者掌握将这些原则落地于具体策划工作的实操路径。</w:t>
      </w:r>
    </w:p>
    <w:p w14:paraId="6BFDC769">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实践场景方面，本章将结合真实的科技服务企业的案例，比如飞算科技的效率提升策划，阿里云的营销策划，智联科技的产品策划，展现这些原则在实际的策划工作中的应用，帮助学习者理解这些原则的实践作用逻辑，以及遵循原则对企业达成策划目标、解决实际问题的价值，为后续方法论的学习筑牢基础。</w:t>
      </w:r>
    </w:p>
    <w:p w14:paraId="43880BD3">
      <w:pPr>
        <w:pStyle w:val="4"/>
        <w:numPr>
          <w:ilvl w:val="0"/>
          <w:numId w:val="9"/>
        </w:numPr>
        <w:ind w:left="0" w:leftChars="0" w:firstLine="0" w:firstLineChars="0"/>
        <w:rPr>
          <w:rFonts w:hint="eastAsia" w:ascii="SimHei" w:hAnsi="SimHei" w:eastAsia="SimHei" w:cs="SimHei"/>
          <w:b w:val="0"/>
          <w:bdr w:val="none" w:sz="0" w:space="0"/>
        </w:rPr>
      </w:pPr>
      <w:bookmarkStart w:id="9" w:name="_Toc7517"/>
      <w:r>
        <w:t>创新原则：突破边界的价值创造</w:t>
      </w:r>
      <w:bookmarkEnd w:id="9"/>
    </w:p>
    <w:p w14:paraId="7870FEDE">
      <w:pPr>
        <w:pStyle w:val="5"/>
        <w:numPr>
          <w:ilvl w:val="0"/>
          <w:numId w:val="10"/>
        </w:numPr>
        <w:ind w:left="0" w:leftChars="0" w:firstLine="0" w:firstLineChars="0"/>
        <w:rPr>
          <w:rFonts w:hint="eastAsia" w:ascii="SimHei" w:hAnsi="SimHei" w:eastAsia="SimHei" w:cs="SimHei"/>
          <w:b w:val="0"/>
          <w:bdr w:val="none" w:sz="0" w:space="0"/>
        </w:rPr>
      </w:pPr>
      <w:bookmarkStart w:id="10" w:name="_Toc5598"/>
      <w:r>
        <w:t>创新原则的内涵与核心要求</w:t>
      </w:r>
      <w:bookmarkEnd w:id="10"/>
    </w:p>
    <w:p w14:paraId="742F2539">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创新原则是商务策划的核心原则之一，在当前的市场环境下，技术的迭代速度越来越快，市场的竞争越来越激烈，同质化的产品与服务越来越多，比如中国商业企业管理软件市场就面临着技术迭代快、市场饱和度高、同质化竞争突出的现状，而消费领域也呈现出企业收并购活动频繁的竞争态势。企业如果不能够通过创新，创造出新的价值，将品牌、渠道、营销策略协同起来，就很容易陷入同质化的价格战中，无法获得竞争优势。对于科技服务型企业而言，创新原则尤为重要，因为科技服务企业的核心竞争力就是创新，只有通过不断地创新，才能够保持技术的领先，才能够满足客户不断升级的需求，才能够在激烈的市场竞争中脱颖而出。创新原则的核心内涵，就是要求企业在商务策划的过程中，不可墨守成规、照搬传统模式，而是要敢于突破现有的边界，创造出新的产品、新的服务、新的模式，从而为客户创造出新的价值，为企业创造出新的增长空间。</w:t>
      </w:r>
    </w:p>
    <w:p w14:paraId="6DF15244">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创新原则的核心要求，首先是要敢于突破现有的认知边界，很多企业在策划的过程中，往往会受到现有的经验与模式的束缚，认为过去的成功经验可以复制，但是在科技服务领域，技术与市场的变化非常快，过去的经验很可能已经不再适用，企业必须敢于打破现有的认知，重新的角度去思考问题，去发现新的机会。比如，飞算科技在策划软件开发服务的过程中，就打破了传统的人力密集型软件开发模式，传统模式需要大量开发人员、耗费漫长周期，而飞算科技则通过AI技术创新了软件开发模式。其推出的飞算JavaAI，不仅能精准捕捉业务需求，将模糊的业务描述转化为清晰的开发指引，还通过启发式开发模式，自动化完成接口拆分、表结构拆分以及逻辑处理方案制定，经专业内测验证，能让项目开发提速40%，甚至可实现十倍提效，这就是突破认知边界的典型案例。</w:t>
      </w:r>
    </w:p>
    <w:p w14:paraId="7931E686">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其次，创新原则要求企业要能够将技术的创新与市场的需求结合起来，很多科技服务企业的技术人员，往往会陷入技术的误区，认为技术越先进越好，但是实际上，技术的创新必须能够满足市场的需求，才能够转化为企业的竞争力，如果技术的创新不能够满足客户的需求，那么再先进的技术也没有意义。比如，不少科技服务企业投入大量资源研发出先进技术，却因未考虑客户需求，最终无法转化为产品、获得市场认可，造成了资源浪费。因此，在创新的过程中，企业必须以客户的需求为导向，将技术的创新与客户的需求结合起来，确保创新的成果能够为客户创造价值，能够被市场所接受。</w:t>
      </w:r>
    </w:p>
    <w:p w14:paraId="02A0913C">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第三个要求是创新要兼顾各个维度，创新不仅仅是技术的创新，还包括服务的创新、商业模式的创新、组织的创新与管理的创新，这些维度的创新是相互支撑的，只有当各个维度的创新都能够协同起来的时候，创新才能够发挥出最大的作用。比如，技术的创新需要服务的创新来支撑，才能够将技术的价值传递给客户，商业模式的创新则能够帮助企业将创新的成果转化为收入，组织与管理的创新则能够为创新提供组织的保障，激发员工的创新活力。对于科技服务企业而言，很多企业只关注技术的创新，而忽略了其他维度的创新，导致技术的创新无法落地，无法转化为企业的竞争力，这是很多科技服务企业创新失败的重要原因。</w:t>
      </w:r>
    </w:p>
    <w:p w14:paraId="3919E3B2">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最后，创新原则要求企业要能够管控创新的风险，创新是有风险的，因为创新的成果是未知的，很可能会失败，因此，在创新的过程中，企业必须能够识别创新的风险，管控创新的风险，避免因为创新的失败，给企业带来过大的损失。对于科技服务企业而言，技术的不确定性进一步放大了创新风险，因此风险管控至关重要。企业可以通过小步快跑的方式，先进行小范围的试点，验证创新的成果，然后再逐步推广，这样既能够保持创新的活力，又能够管控创新的风险。比如，很多科技服务企业在推出新的产品的时候，会先找几个标杆客户进行试点，根据客户的反馈调整产品，然后再大规模地推广，这就是管控创新风险的有效方法，飞算科技在推出AI开发平台的时候，就采用了这样的方法，先在内部的项目中进行试点，验证了平台的效果，然后再推广给外部的客户，最终取得了很好的效果。</w:t>
      </w:r>
    </w:p>
    <w:p w14:paraId="0ED18113">
      <w:pPr>
        <w:pStyle w:val="5"/>
        <w:numPr>
          <w:ilvl w:val="0"/>
          <w:numId w:val="10"/>
        </w:numPr>
        <w:ind w:left="0" w:leftChars="0" w:firstLine="0" w:firstLineChars="0"/>
        <w:rPr>
          <w:rFonts w:hint="eastAsia" w:ascii="SimHei" w:hAnsi="SimHei" w:eastAsia="SimHei" w:cs="SimHei"/>
          <w:b w:val="0"/>
          <w:bdr w:val="none" w:sz="0" w:space="0"/>
        </w:rPr>
      </w:pPr>
      <w:bookmarkStart w:id="11" w:name="_Toc22075"/>
      <w:r>
        <w:t>技术创新与服务创新的协同</w:t>
      </w:r>
      <w:bookmarkEnd w:id="11"/>
    </w:p>
    <w:p w14:paraId="0D9BDC8F">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在科技服务企业的创新中，技术创新与服务创新是两个核心的维度，二者是相互支撑、相互协同的，只有当二者能够有效地协同的时候，创新才能够发挥出最大的作用。技术创新是服务创新的基础，技术创新是服务创新的根基，脱离技术创新，服务创新便成无源之水；服务创新是技术创新的落脚点，缺乏服务创新，技术创新无法转化为客户价值与企业营收。因此，在商务策划的过程中，企业必须将技术创新与服务创新结合起来，实现二者的协同，从而最大化创新的价值。</w:t>
      </w:r>
    </w:p>
    <w:p w14:paraId="6A8EEDB8">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技术创新与服务创新的协同，需要建立“技术-服务”双向迭代的闭环机制。一方面，技术创新为服务创新提供新的工具与可能性：例如阿里云基于其自研的飞天操作系统与AI算法，推出了“智能运维服务”，通过实时监控云服务器的运行数据，主动识别潜在故障并提前干预，将传统被动式运维升级为主动预防式服务，大幅提升了客户系统的稳定性。这种服务模式的创新，正是依托于底层技术的突破。另一方面，服务创新所收集的客户反馈，又能反向推动技术的迭代优化：阿里云在智能运维服务的落地过程中，收到金融客户对“毫秒级故障响应”的特殊需求，于是技术团队针对性研发了分布式追踪与实时决策算法，进一步提升了技术的精准度，形成了“技术创新→服务升级→需求反馈→技术优化”的良性循环。</w:t>
      </w:r>
    </w:p>
    <w:p w14:paraId="3505D096">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此外，协同还需在组织层面打通技术与服务团队的协作壁垒。例如飞算科技在推进AI开发平台时，让技术研发团队与客户服务团队共同参与项目策划：技术团队负责打磨平台的算法精度，服务团队则深入客户场景，收集开发过程中的痛点（如需求沟通效率低、调试周期长），并将这些痛点转化为技术优化的方向。双方定期召开协同会议，确保技术创新始终围绕服务场景展开，服务创新也能充分利用技术成果。这种跨团队的协同机制，让飞算的AI开发平台不仅在技术上领先，更能通过定制化服务方案满足不同行业客户的需求，实现了技术价值与服务价值的最大化。</w:t>
      </w:r>
    </w:p>
    <w:p w14:paraId="15B56AD9">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同时，协同还需聚焦客户全生命周期的价值创造。科技服务企业可通过技术创新搭建智能化服务平台，例如智联科技开发的客户管理系统，整合了AI需求预测、自动化服务调度等技术，能根据客户的行业属性、业务规模自动匹配服务方案；而服务团队则基于平台数据，为客户提供从前期需求分析到后期运维支持的全流程个性化服务。这种技术与服务的深度融合，既提升了服务效率，又增强了客户粘性，帮助企业在激烈的市场竞争中构建起差异化优势。</w:t>
      </w:r>
    </w:p>
    <w:p w14:paraId="3BA86417">
      <w:pPr>
        <w:pStyle w:val="4"/>
        <w:widowControl/>
        <w:numPr>
          <w:ilvl w:val="0"/>
          <w:numId w:val="9"/>
        </w:numPr>
        <w:ind w:left="0" w:leftChars="0" w:firstLine="0" w:firstLineChars="0"/>
        <w:rPr>
          <w:rFonts w:hint="eastAsia" w:ascii="SimHei" w:hAnsi="SimHei" w:eastAsia="SimHei" w:cs="SimHei"/>
          <w:b w:val="0"/>
          <w:bdr w:val="none" w:sz="0" w:space="0"/>
        </w:rPr>
      </w:pPr>
      <w:bookmarkStart w:id="12" w:name="_Toc14065"/>
      <w:r>
        <w:t>客户导向原则：以需求为核心的价值传递</w:t>
      </w:r>
      <w:bookmarkEnd w:id="12"/>
      <w:r>
        <w:t xml:space="preserve">  </w:t>
      </w:r>
    </w:p>
    <w:p w14:paraId="79701F98">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客户导向原则是科技服务型企业商务策划的根本遵循，其核心在于将客户的真实需求作为策划的起点与终点，通过深度洞察客户痛点、精准匹配服务能力，实现企业价值与客户价值的共生共赢。在科技服务领域，客户需求往往呈现出专业化、动态化的特征，只有坚持客户导向，才能避免策划方案与市场脱节，确保服务成果真正解决客户问题。  </w:t>
      </w:r>
    </w:p>
    <w:p w14:paraId="37D3F5D0">
      <w:pPr>
        <w:pStyle w:val="5"/>
        <w:widowControl/>
        <w:numPr>
          <w:ilvl w:val="0"/>
          <w:numId w:val="11"/>
        </w:numPr>
        <w:ind w:left="0" w:leftChars="0" w:firstLine="0" w:firstLineChars="0"/>
        <w:rPr>
          <w:rFonts w:hint="eastAsia" w:ascii="SimHei" w:hAnsi="SimHei" w:eastAsia="SimHei" w:cs="SimHei"/>
          <w:b w:val="0"/>
          <w:bdr w:val="none" w:sz="0" w:space="0"/>
        </w:rPr>
      </w:pPr>
      <w:bookmarkStart w:id="13" w:name="_Toc4377"/>
      <w:r>
        <w:t>客户导向原则的内涵与核心要求</w:t>
      </w:r>
      <w:bookmarkEnd w:id="13"/>
      <w:r>
        <w:t xml:space="preserve">  </w:t>
      </w:r>
    </w:p>
    <w:p w14:paraId="7E2BC73E">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客户导向原则的内涵可概括为：以客户为中心，将需求洞察、价值传递、反馈迭代贯穿于商务策划的全流程，使策划方案始终围绕客户的核心诉求展开。其核心要求包括三个层面：  </w:t>
      </w:r>
    </w:p>
    <w:p w14:paraId="65C9FB9C">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首先，需深度挖掘客户的潜在需求。科技服务客户的需求常隐藏在表面诉求之下，例如某制造企业提出“提升生产效率”的需求，背后可能是设备数据采集不及时、流程协同不畅等深层痛点。企业需通过用户访谈、场景调研、数据分析等方式，穿透表面需求，捕捉客户未被满足的潜在期望。  </w:t>
      </w:r>
    </w:p>
    <w:p w14:paraId="5F2F0AEE">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其次，需建立动态响应机制。客户需求会随技术发展、业务扩张而变化，策划方案需具备弹性，能够快速调整。例如阿里云为电商客户提供的云服务方案，会根据“618”“双11”等大促节点的流量波动，提前优化资源配置，动态调整服务内容。  </w:t>
      </w:r>
    </w:p>
    <w:p w14:paraId="310F1C6C">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最后，需实现客户价值与企业价值的平衡。策划方案既要满足客户需求，也要保障企业的合理收益，避免过度让利或忽视客户体验。例如飞算科技在为中小微企业提供AI开发服务时，推出模块化定价方案，既降低了客户的准入门槛，也通过增值服务实现了企业的可持续盈利。  </w:t>
      </w:r>
    </w:p>
    <w:p w14:paraId="111F4DCA">
      <w:pPr>
        <w:pStyle w:val="5"/>
        <w:widowControl/>
        <w:numPr>
          <w:ilvl w:val="0"/>
          <w:numId w:val="11"/>
        </w:numPr>
        <w:ind w:left="0" w:leftChars="0" w:firstLine="0" w:firstLineChars="0"/>
        <w:rPr>
          <w:rFonts w:hint="eastAsia" w:ascii="SimHei" w:hAnsi="SimHei" w:eastAsia="SimHei" w:cs="SimHei"/>
          <w:b w:val="0"/>
          <w:bdr w:val="none" w:sz="0" w:space="0"/>
        </w:rPr>
      </w:pPr>
      <w:bookmarkStart w:id="14" w:name="_Toc10421"/>
      <w:r>
        <w:t>客户需求挖掘与价值匹配策略</w:t>
      </w:r>
      <w:bookmarkEnd w:id="14"/>
      <w:r>
        <w:t xml:space="preserve">  </w:t>
      </w:r>
    </w:p>
    <w:p w14:paraId="24C0A481">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客户需求挖掘需结合定量与定性方法：定量层面，可通过大数据分析客户的业务数据、行为轨迹，识别需求趋势；定性层面，可采用焦点小组、深度访谈等方式，收集客户的主观感受与潜在期望。例如智联科技在策划企业数字化转型服务时，通过分析客户的生产数据发现设备停机率高的问题，再通过访谈确认客户对预测性维护的需求，为后续方案设计提供依据。  </w:t>
      </w:r>
    </w:p>
    <w:p w14:paraId="6618C339">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价值匹配策略则需将企业的技术与服务能力精准对接客户需求：一方面，要基于客户的行业属性、业务规模定制方案，例如为金融客户提供高安全性的云存储服务，为零售客户提供智能导购系统；另一方面，要通过服务全流程的价值传递，让客户感知到方案的价值。例如阿里云在为某物流企业策划智能调度方案时，不仅提供算法模型，还通过现场培训、效果跟踪等服务，确保客户能有效应用方案，实现运输效率提升30%的目标。  </w:t>
      </w:r>
    </w:p>
    <w:p w14:paraId="02CA02B4">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通过客户导向原则的落地，科技服务企业能构建起以客户为中心的策划体系，提升客户满意度与忠诚度，为企业的长期发展奠定基础。</w:t>
      </w:r>
    </w:p>
    <w:p w14:paraId="67C6E6DD">
      <w:pPr>
        <w:pStyle w:val="4"/>
        <w:widowControl/>
        <w:numPr>
          <w:ilvl w:val="0"/>
          <w:numId w:val="9"/>
        </w:numPr>
        <w:ind w:left="0" w:leftChars="0" w:firstLine="0" w:firstLineChars="0"/>
        <w:rPr>
          <w:rFonts w:hint="eastAsia" w:ascii="SimHei" w:hAnsi="SimHei" w:eastAsia="SimHei" w:cs="SimHei"/>
          <w:b w:val="0"/>
          <w:bdr w:val="none" w:sz="0" w:space="0"/>
        </w:rPr>
      </w:pPr>
      <w:bookmarkStart w:id="15" w:name="_Toc24283"/>
      <w:r>
        <w:t>系统性原则：资源整合的价值最大化</w:t>
      </w:r>
      <w:bookmarkEnd w:id="15"/>
      <w:r>
        <w:t xml:space="preserve">  </w:t>
      </w:r>
    </w:p>
    <w:p w14:paraId="52CD03B7">
      <w:pPr>
        <w:pStyle w:val="5"/>
        <w:widowControl/>
        <w:numPr>
          <w:ilvl w:val="0"/>
          <w:numId w:val="12"/>
        </w:numPr>
        <w:ind w:left="0" w:leftChars="0" w:firstLine="0" w:firstLineChars="0"/>
        <w:rPr>
          <w:rFonts w:hint="eastAsia" w:ascii="SimHei" w:hAnsi="SimHei" w:eastAsia="SimHei" w:cs="SimHei"/>
          <w:b w:val="0"/>
          <w:bdr w:val="none" w:sz="0" w:space="0"/>
        </w:rPr>
      </w:pPr>
      <w:bookmarkStart w:id="16" w:name="_Toc14315"/>
      <w:r>
        <w:t>系统性原则的内涵与核心要求</w:t>
      </w:r>
      <w:bookmarkEnd w:id="16"/>
      <w:r>
        <w:t xml:space="preserve">  </w:t>
      </w:r>
    </w:p>
    <w:p w14:paraId="698563DA">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系统性原则是科技服务型企业商务策划的关键支撑，其核心在于以全局视角统筹企业内外部资源，通过有机整合与协同配置，实现资源利用效率的最大化与价值创造的倍增效应。在科技服务领域，企业的价值输出往往依赖技术研发、服务交付、客户运营等多环节的联动，若资源分散、协同不足，易导致策划方案执行断层、价值传递损耗。因此，系统性原则要求企业在策划过程中，打破部门壁垒与资源孤岛，将技术、人才、资金、数据、合作伙伴等要素视为一个有机整体，通过系统化配置实现1+1&gt;2的协同效果。  </w:t>
      </w:r>
    </w:p>
    <w:p w14:paraId="1FCABC65">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其核心要求包括三个维度：一是全局统筹，需从企业战略目标出发，而非局部利益，例如在策划某数字化转型项目时，需同步考虑技术研发的投入、服务团队的能力匹配、客户数据的支撑等，避免单一环节的优化导致整体效率下降；二是资源协同，强调不同资源间的互补与联动，如技术资源需与服务资源协同，才能将技术成果转化为客户可感知的服务价值；三是动态适配，需根据市场变化与项目进展实时调整资源配置，例如当客户需求升级时，及时整合新的技术资源与服务能力以响应变化。  </w:t>
      </w:r>
    </w:p>
    <w:p w14:paraId="7CDEB2AB">
      <w:pPr>
        <w:pStyle w:val="5"/>
        <w:widowControl/>
        <w:numPr>
          <w:ilvl w:val="0"/>
          <w:numId w:val="12"/>
        </w:numPr>
        <w:ind w:left="0" w:leftChars="0" w:firstLine="0" w:firstLineChars="0"/>
        <w:rPr>
          <w:rFonts w:hint="eastAsia" w:ascii="SimHei" w:hAnsi="SimHei" w:eastAsia="SimHei" w:cs="SimHei"/>
          <w:b w:val="0"/>
          <w:bdr w:val="none" w:sz="0" w:space="0"/>
        </w:rPr>
      </w:pPr>
      <w:bookmarkStart w:id="17" w:name="_Toc8933"/>
      <w:r>
        <w:t>资源整合与协同的实施路径</w:t>
      </w:r>
      <w:bookmarkEnd w:id="17"/>
      <w:r>
        <w:t xml:space="preserve">  </w:t>
      </w:r>
    </w:p>
    <w:p w14:paraId="007C22A8">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资源整合的实施需从内部整合与外部协同两个层面展开。内部整合方面，企业可通过建立跨部门协作机制，打通技术、服务、运营等团队的资源通道。例如飞算科技在策划AI开发服务时，整合了研发部门的算法资源、客户服务部门的需求数据、运营部门的市场反馈，形成了“需求-研发-服务”的闭环资源流，确保每个环节的资源都能精准支撑策划目标。  </w:t>
      </w:r>
    </w:p>
    <w:p w14:paraId="2902C23D">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外部协同方面，需积极联动产业链上下游伙伴，构建资源共享生态。例如阿里云在策划智慧金融服务方案时，整合了自身的云基础设施、第三方金融科技公司的风控模型、银行客户的业务数据，通过生态伙伴的资源互补，为客户提供覆盖数据存储、风险管控、业务运营的全链条服务，显著提升了方案的竞争力。  </w:t>
      </w:r>
    </w:p>
    <w:p w14:paraId="6E44F465">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此外，资源整合需依托数字化工具实现动态管理。例如智联科技搭建了资源调度平台，实时监控技术资源、人力资源的使用情况，并根据项目需求自动匹配最优资源组合，既提高了资源利用效率，又降低了策划执行的成本。通过系统性原则的落地，科技服务企业能有效整合各类资源，形成可持续的价值创造能力，为商务策划的成功提供坚实保障。</w:t>
      </w:r>
    </w:p>
    <w:p w14:paraId="5A970B4A">
      <w:pPr>
        <w:pStyle w:val="4"/>
        <w:widowControl/>
        <w:numPr>
          <w:ilvl w:val="0"/>
          <w:numId w:val="9"/>
        </w:numPr>
        <w:ind w:left="0" w:leftChars="0" w:firstLine="0" w:firstLineChars="0"/>
        <w:rPr>
          <w:rFonts w:hint="eastAsia" w:ascii="SimHei" w:hAnsi="SimHei" w:eastAsia="SimHei" w:cs="SimHei"/>
          <w:b w:val="0"/>
          <w:bdr w:val="none" w:sz="0" w:space="0"/>
        </w:rPr>
      </w:pPr>
      <w:bookmarkStart w:id="18" w:name="_Toc1389"/>
      <w:r>
        <w:t>可持续发展原则：长期价值的构建与延续</w:t>
      </w:r>
      <w:bookmarkEnd w:id="18"/>
      <w:r>
        <w:t xml:space="preserve">  </w:t>
      </w:r>
    </w:p>
    <w:p w14:paraId="12A27B44">
      <w:pPr>
        <w:pStyle w:val="5"/>
        <w:widowControl/>
        <w:numPr>
          <w:ilvl w:val="0"/>
          <w:numId w:val="13"/>
        </w:numPr>
        <w:ind w:left="0" w:leftChars="0" w:firstLine="0" w:firstLineChars="0"/>
        <w:rPr>
          <w:rFonts w:hint="eastAsia" w:ascii="SimHei" w:hAnsi="SimHei" w:eastAsia="SimHei" w:cs="SimHei"/>
          <w:b w:val="0"/>
          <w:bdr w:val="none" w:sz="0" w:space="0"/>
        </w:rPr>
      </w:pPr>
      <w:bookmarkStart w:id="19" w:name="_Toc8611"/>
      <w:r>
        <w:t>可持续发展原则的内涵与核心要求</w:t>
      </w:r>
      <w:bookmarkEnd w:id="19"/>
      <w:r>
        <w:t xml:space="preserve">  </w:t>
      </w:r>
    </w:p>
    <w:p w14:paraId="5C103B75">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可持续发展原则是科技服务型企业商务策划的长远保障，其内涵在于以长期视角统筹企业经济效益、客户价值与社会环境责任，通过持续的价值创造与迭代优化，实现企业、客户与社会的共赢发展。在科技服务领域，行业技术迭代快、市场竞争激烈，只有坚持可持续发展，才能避免短期利益导向下的资源透支，确保企业与客户的长期共生。  </w:t>
      </w:r>
    </w:p>
    <w:p w14:paraId="06424685">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其核心要求包括三个维度：一是经济可持续，需构建具有盈利能力与增长潜力的业务模式，避免依赖一次性项目收益，通过复购、增值服务等方式实现稳定营收；二是客户价值可持续，需持续跟踪客户业务发展，通过技术升级、服务延伸满足其长期需求，例如为客户提供定期的系统更新、技能培训等，帮助客户适应行业变化；三是社会环境可持续，需将绿色发展、社会责任融入策划全过程，例如在方案中采用低碳技术、推动数据安全合规，既降低企业自身的环境影响，也为客户创造符合社会价值的服务。  </w:t>
      </w:r>
    </w:p>
    <w:p w14:paraId="46D0CC6C">
      <w:pPr>
        <w:pStyle w:val="5"/>
        <w:widowControl/>
        <w:numPr>
          <w:ilvl w:val="0"/>
          <w:numId w:val="13"/>
        </w:numPr>
        <w:ind w:left="0" w:leftChars="0" w:firstLine="0" w:firstLineChars="0"/>
        <w:rPr>
          <w:rFonts w:hint="eastAsia" w:ascii="SimHei" w:hAnsi="SimHei" w:eastAsia="SimHei" w:cs="SimHei"/>
          <w:b w:val="0"/>
          <w:bdr w:val="none" w:sz="0" w:space="0"/>
        </w:rPr>
      </w:pPr>
      <w:bookmarkStart w:id="20" w:name="_Toc14084"/>
      <w:r>
        <w:t>可持续发展原则的实施路径</w:t>
      </w:r>
      <w:bookmarkEnd w:id="20"/>
      <w:r>
        <w:t xml:space="preserve">  </w:t>
      </w:r>
    </w:p>
    <w:p w14:paraId="1ED730C6">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实施可持续发展原则需从价值生态构建、ESG融入与长期客户关系管理三个方面入手。首先，构建循环式价值生态：科技服务企业可通过技术迭代与服务升级形成持续的价值输出，例如飞算科技为客户提供AI开发平台的长期维护与功能更新服务，根据客户业务扩张需求不断优化算法模型，帮助客户实现业务规模的持续增长，同时企业也通过订阅制、增值服务获得稳定收益。其次，将ESG理念融入策划细节：在商务策划中加入绿色技术模块，如阿里云在为企业提供云服务时，优先推荐绿色数据中心资源，帮助客户降低能耗成本，同时自身通过可再生能源使用、余热回收等措施减少碳足迹，实现环境与经济价值的双赢。最后，建立长期客户关系管理机制：通过定期需求回访、行业趋势分享等方式，深度绑定客户，例如智联科技为客户建立专属服务档案，跟踪其数字化转型的长期进展，及时调整服务方案，确保客户价值的持续提升。  </w:t>
      </w:r>
    </w:p>
    <w:p w14:paraId="53A09610">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通过可持续发展原则的落地，科技服务企业能在快速变化的市场中建立长期竞争优势，实现企业价值与社会价值的统一，为商务策划的长期成功奠定基础。</w:t>
      </w:r>
    </w:p>
    <w:p w14:paraId="2A9E843A">
      <w:pPr>
        <w:pStyle w:val="4"/>
        <w:widowControl/>
        <w:numPr>
          <w:ilvl w:val="0"/>
          <w:numId w:val="9"/>
        </w:numPr>
        <w:ind w:left="0" w:leftChars="0" w:firstLine="0" w:firstLineChars="0"/>
        <w:rPr>
          <w:rFonts w:hint="eastAsia" w:ascii="SimHei" w:hAnsi="SimHei" w:eastAsia="SimHei" w:cs="SimHei"/>
          <w:b w:val="0"/>
          <w:bdr w:val="none" w:sz="0" w:space="0"/>
        </w:rPr>
      </w:pPr>
      <w:bookmarkStart w:id="21" w:name="_Toc22661"/>
      <w:r>
        <w:t>敏捷响应原则：快速迭代的价值适配</w:t>
      </w:r>
      <w:bookmarkEnd w:id="21"/>
      <w:r>
        <w:t xml:space="preserve">  </w:t>
      </w:r>
    </w:p>
    <w:p w14:paraId="065C895C">
      <w:pPr>
        <w:pStyle w:val="5"/>
        <w:widowControl/>
        <w:numPr>
          <w:ilvl w:val="0"/>
          <w:numId w:val="14"/>
        </w:numPr>
        <w:ind w:left="0" w:leftChars="0" w:firstLine="0" w:firstLineChars="0"/>
        <w:rPr>
          <w:rFonts w:hint="eastAsia" w:ascii="SimHei" w:hAnsi="SimHei" w:eastAsia="SimHei" w:cs="SimHei"/>
          <w:b w:val="0"/>
          <w:bdr w:val="none" w:sz="0" w:space="0"/>
        </w:rPr>
      </w:pPr>
      <w:bookmarkStart w:id="22" w:name="_Toc12295"/>
      <w:r>
        <w:t>敏捷响应原则的内涵与核心要求</w:t>
      </w:r>
      <w:bookmarkEnd w:id="22"/>
      <w:r>
        <w:t xml:space="preserve">  </w:t>
      </w:r>
    </w:p>
    <w:p w14:paraId="5345E702">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敏捷响应原则是科技服务型企业应对市场动态变化与客户实时需求的关键策略，其内涵在于以灵活迭代的方式快速适配客户需求与行业趋势，通过打破传统策划的固化流程，实现价值的实时传递与持续优化。在科技服务领域，技术迭代周期缩短、客户需求个性化程度提升，若策划方案缺乏敏捷性，易导致服务与需求脱节，错失市场机会。其核心要求包括三个维度：一是快速感知，建立市场趋势与客户需求的实时监测机制，及时捕捉变化信号；二是灵活迭代，允许策划方案在执行过程中根据反馈动态调整，避免僵化执行；三是高效协同，打通跨部门响应通道，确保需求从感知到落地的快速流转。  </w:t>
      </w:r>
    </w:p>
    <w:p w14:paraId="3FBCD096">
      <w:pPr>
        <w:pStyle w:val="5"/>
        <w:widowControl/>
        <w:numPr>
          <w:ilvl w:val="0"/>
          <w:numId w:val="14"/>
        </w:numPr>
        <w:ind w:left="0" w:leftChars="0" w:firstLine="0" w:firstLineChars="0"/>
        <w:rPr>
          <w:rFonts w:hint="eastAsia" w:ascii="SimHei" w:hAnsi="SimHei" w:eastAsia="SimHei" w:cs="SimHei"/>
          <w:b w:val="0"/>
          <w:bdr w:val="none" w:sz="0" w:space="0"/>
        </w:rPr>
      </w:pPr>
      <w:bookmarkStart w:id="23" w:name="_Toc4769"/>
      <w:r>
        <w:t>敏捷响应原则的实施路径</w:t>
      </w:r>
      <w:bookmarkEnd w:id="23"/>
      <w:r>
        <w:t xml:space="preserve">  </w:t>
      </w:r>
    </w:p>
    <w:p w14:paraId="02A53F4F">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实施敏捷响应原则需从机制、方法与工具三个层面入手。首先，建立需求快速响应机制：例如飞算科技设立客户需求应急小组，对客户提出的紧急功能优化需求，24小时内完成需求评估并给出初步解决方案，3天内完成迭代开发与交付，有效提升了客户满意度。其次，采用迭代式策划方法：将大型项目拆分为小周期的迭代模块，每阶段交付可验证的成果并收集反馈，如阿里云在为零售企业策划智能营销方案时，采用“原型-测试-优化”的迭代流程，每两周交付一次原型版本，根据客户的销售数据反馈调整算法模型，确保方案始终贴合业务实际。最后，利用数字化工具提升响应效率：智联科技开发了智能需求管理平台，通过AI算法自动分类客户需求、匹配对应团队，并实时跟踪需求处理进度，将平均响应时间缩短了50%。通过敏捷响应原则的落地，科技服务企业能快速适应市场变化，精准匹配客户动态需求，在竞争中保持灵活性与竞争力。</w:t>
      </w:r>
    </w:p>
    <w:p w14:paraId="59710F0A">
      <w:pPr>
        <w:pStyle w:val="3"/>
        <w:widowControl/>
      </w:pPr>
      <w:bookmarkStart w:id="24" w:name="_Toc6116"/>
      <w:r>
        <w:t>全章总结</w:t>
      </w:r>
      <w:bookmarkEnd w:id="24"/>
    </w:p>
    <w:p w14:paraId="483A8B10">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本章围绕科技服务型企业商务策划的五大核心原则展开，系统阐述了创新、客户导向、系统性、可持续发展与敏捷响应原则的内涵、核心要求及实施路径。五大原则并非孤立存在，而是相互关联、协同作用的有机整体：创新原则为价值创造注入源动力，通过技术与服务的协同突破边界；客户导向原则锚定价值传递的根本方向，以需求洞察与动态响应实现企业与客户的价值共生；系统性原则保障资源整合的效率最大化，通过内外部资源的有机联动形成协同效应；可持续发展原则构建长期价值的延续基础，兼顾经济、客户与社会环境的共赢；敏捷响应原则则实现对动态需求的快速适配，以灵活迭代提升市场竞争力。五大原则的协同落地，帮助科技服务型企业打破传统策划的固化思维，构建起以客户为中心、以创新为驱动、以资源协同为支撑、以长期发展为目标的商务策划体系。在数字化转型加速推进的时代背景下，坚持五大核心原则，不仅能提升企业的服务质量与市场竞争力，更能推动企业与客户、社会的共生共赢，为科技服务行业的高质量发展提供坚实的理论指导与实践路径。</w:t>
      </w:r>
    </w:p>
    <w:p w14:paraId="7E61BE83">
      <w:pPr>
        <w:rPr>
          <w:rFonts w:hint="eastAsia" w:cs="Times New Roman"/>
          <w:b w:val="0"/>
          <w:sz w:val="24"/>
          <w:szCs w:val="24"/>
          <w:lang w:val="en-US" w:eastAsia="zh-CN"/>
        </w:rPr>
      </w:pPr>
      <w:r>
        <w:rPr>
          <w:rFonts w:hint="eastAsia" w:cs="Times New Roman"/>
          <w:b w:val="0"/>
          <w:sz w:val="24"/>
          <w:szCs w:val="24"/>
          <w:lang w:val="en-US" w:eastAsia="zh-CN"/>
        </w:rPr>
        <w:br w:type="page"/>
      </w:r>
    </w:p>
    <w:p w14:paraId="3CD2494A">
      <w:pPr>
        <w:pStyle w:val="3"/>
        <w:numPr>
          <w:ilvl w:val="0"/>
          <w:numId w:val="0"/>
        </w:numPr>
        <w:ind w:left="440" w:leftChars="0" w:firstLine="0" w:firstLineChars="0"/>
        <w:rPr>
          <w:rFonts w:hint="eastAsia" w:ascii="SimHei" w:hAnsi="SimHei" w:eastAsia="SimHei" w:cs="SimHei"/>
          <w:b w:val="0"/>
          <w:bdr w:val="none" w:sz="0" w:space="0"/>
        </w:rPr>
      </w:pPr>
      <w:bookmarkStart w:id="25" w:name="_Toc1942"/>
      <w:r>
        <w:rPr>
          <w:rFonts w:hint="eastAsia" w:ascii="SimHei" w:hAnsi="SimHei" w:eastAsia="SimHei" w:cs="SimHei"/>
          <w:b w:val="0"/>
          <w:color w:val="000000"/>
          <w:kern w:val="44"/>
          <w:sz w:val="32"/>
          <w:szCs w:val="44"/>
          <w:bdr w:val="none" w:sz="0" w:space="0"/>
          <w:lang w:bidi="ar-SA"/>
        </w:rPr>
        <w:t>第三章</w:t>
      </w:r>
      <w:r>
        <w:t>科技服务型企业商务策划的核心方法论</w:t>
      </w:r>
      <w:bookmarkEnd w:id="25"/>
    </w:p>
    <w:p w14:paraId="7986573B">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本章将系统介绍科技服务型企业商务策划的核心方法论，这些方法是策划工作的具体工具，是将策划的原则转化为具体行动的桥梁，也是整个课程的核心实践工具。</w:t>
      </w:r>
    </w:p>
    <w:p w14:paraId="314D990A">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理论层面，本章将详细介绍环境分析、SWOT分析、市场细分、产品创新、商业模式设计与财务分析这六大核心方法的理论框架，解释这些方法的逻辑基础，帮助学习者深度理解方法内核，精准把握其适用边界与场景。</w:t>
      </w:r>
    </w:p>
    <w:p w14:paraId="291CA680">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方法体系上，本章将介绍这些方法的具体操作步骤，比如PEST分析的具体维度，SWOT矩阵的策略生成方法，市场细分的具体标准，商业模式画布的使用方法等，帮助学习者掌握如何运用这些方法，解决实际的策划问题。</w:t>
      </w:r>
    </w:p>
    <w:p w14:paraId="7151B35B">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实践场景方面，本章将结合真实的科技服务企业的案例，比如智联科技的预测性维护平台的策划，诺海通的创业策划，阿里云的营销策划——阿里云不仅打造了E2营销引擎、数智营销解决方案助力企业营销增长，还通过与民生银行、中国交通建设股份有限公司等大型企业的合作，将云计算技术与企业业务场景结合，推动业务效率提升，同时在2019财年第一季度阿里云业务同比增长93%，成为阿里增长最快的业务之一，展现这些方法在实际的策划工作中的应用，帮助学习者理解如何将这些方法与企业的实际情况结合起来，如何通过这些方法，制定出有效的策划方案，为后续的案例学习与风险管控的学习奠定基础。</w:t>
      </w:r>
    </w:p>
    <w:p w14:paraId="19DD4481">
      <w:pPr>
        <w:pStyle w:val="4"/>
        <w:numPr>
          <w:ilvl w:val="0"/>
          <w:numId w:val="15"/>
        </w:numPr>
        <w:ind w:left="0" w:leftChars="0" w:firstLine="0" w:firstLineChars="0"/>
        <w:outlineLvl w:val="0"/>
        <w:rPr>
          <w:rFonts w:hint="eastAsia" w:ascii="SimHei" w:hAnsi="SimHei" w:eastAsia="SimHei" w:cs="SimHei"/>
          <w:b w:val="0"/>
          <w:bdr w:val="none" w:sz="0" w:space="0"/>
        </w:rPr>
      </w:pPr>
      <w:bookmarkStart w:id="26" w:name="_Toc26113"/>
      <w:r>
        <w:t>环境分析工具：PEST与五力模型</w:t>
      </w:r>
      <w:bookmarkEnd w:id="26"/>
    </w:p>
    <w:p w14:paraId="27E212C8">
      <w:pPr>
        <w:pStyle w:val="19"/>
        <w:numPr>
          <w:ilvl w:val="0"/>
          <w:numId w:val="16"/>
        </w:numPr>
        <w:ind w:left="0" w:leftChars="0" w:firstLine="480" w:firstLineChars="0"/>
        <w:rPr>
          <w:rFonts w:ascii="Times New Roman" w:hAnsi="Times New Roman" w:eastAsia="SimSun" w:cs="Times New Roman"/>
          <w:b w:val="0"/>
          <w:sz w:val="24"/>
          <w:szCs w:val="24"/>
          <w:bdr w:val="none" w:sz="0" w:space="0"/>
        </w:rPr>
      </w:pPr>
      <w:r>
        <w:rPr>
          <w:rFonts w:ascii="Times New Roman" w:hAnsi="Times New Roman" w:eastAsia="SimSun" w:cs="Times New Roman"/>
          <w:sz w:val="24"/>
          <w:szCs w:val="24"/>
        </w:rPr>
        <w:t>PEST分析的框架与应用</w:t>
      </w:r>
    </w:p>
    <w:p w14:paraId="259C77D8">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PEST分析是商务策划中常用的宏观环境分析工具，它通过对政治（Political）、经济（Economic）、社会（Social）与技术（Technological）四个维度的分析，帮助企业全面地了解宏观的环境，从而识别宏观环境中的机会与威胁，为策划提供基础信息。对于科技服务企业而言，宏观环境的分析尤为重要，因为科技服务企业的业务受到政策、经济、社会与技术的影响非常大。政策层面，近年来我国将科技服务行业作为国家战略新兴产业培育，《国家创新驱动发展战略纲要》《“十四五”国家科技创新规划》等顶层政策文件为行业明确了发展目标，北京推出的《关于加快科技服务业发展的若干措施》、上海设立的科技创新基金等地方政策也从多维度为企业提供支持，政策的变化会直接影响企业的业务方向；经济层面，随着知识经济崛起和产业结构升级，各行各业对科技服务的需求持续增长，经济的变化会显著影响客户的需求；社会的变化会影响客户的偏好，技术的变化会影响企业的技术竞争力，因此，通过PEST分析，企业能够全面地了解宏观的环境，从而制定出符合环境趋势的策划方案。</w:t>
      </w:r>
    </w:p>
    <w:p w14:paraId="263360A2">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政治维度的分析，主要是分析政策、法律法规等方面的因素，比如国家对于科技服务行业的扶持政策，税收优惠政策，知识产权的保护政策，行业的监管政策等，这些因素会直接影响企业的经营环境。比如，近年来，国家出台了一系列的政策，扶持科技服务企业的发展，比如研发费用加计扣除政策，高新技术企业的税收优惠政策，这些政策都为科技服务企业的发展提供了很好的环境。据国家税务总局2023年度企业所得税汇算清缴数据显示，全国共有62.9万户企业享受研发费用加计扣除金额达3.45万亿元，其中40.5万户高新技术企业享受加计扣除金额为2.83万亿元，同比增长15.1%，户均加计扣除金额是非高新技术企业的2.5倍。河北宇腾羊绒制品有限公司2021年预计可享受研发费用加计扣除300余万元，少缴企业所得税75万余元，这笔资金为企业核心技术攻关提供了有力支持。</w:t>
      </w:r>
    </w:p>
    <w:p w14:paraId="5D060097">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企业在策划的过程中，就可以利用这些政策，优化企业的成本，提升企业的竞争力。比如，成都的某科技服务企业，在策划高新技术企业认定的过程中，就充分利用了国家的相关政策，通过知识产权的构建，最终成功通过了高企的认定，享受到了税收的优惠，节税超过了150万元，这就是政治维度分析的典型应用。</w:t>
      </w:r>
    </w:p>
    <w:p w14:paraId="47A8A3CC">
      <w:pPr>
        <w:pStyle w:val="19"/>
        <w:widowControl/>
        <w:numPr>
          <w:ilvl w:val="0"/>
          <w:numId w:val="16"/>
        </w:numPr>
        <w:ind w:left="0" w:leftChars="0" w:firstLine="480" w:firstLineChars="0"/>
        <w:rPr>
          <w:rFonts w:hint="eastAsia" w:ascii="SimSun" w:hAnsi="SimSun" w:eastAsia="SimSun" w:cs="SimSun"/>
          <w:b w:val="0"/>
          <w:sz w:val="24"/>
          <w:szCs w:val="24"/>
          <w:bdr w:val="none" w:sz="0" w:space="0"/>
        </w:rPr>
      </w:pPr>
      <w:r>
        <w:rPr>
          <w:rFonts w:ascii="Times New Roman" w:hAnsi="Times New Roman" w:eastAsia="SimSun" w:cs="Times New Roman"/>
          <w:b w:val="0"/>
          <w:sz w:val="24"/>
          <w:szCs w:val="24"/>
        </w:rPr>
        <w:t>科技服务行业的政策环境分析</w:t>
      </w:r>
    </w:p>
    <w:p w14:paraId="1A674E05">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需聚焦政策导向的核心领域，结合行业特性挖掘政策红利与合规要求，为商务策划提供精准的方向指引。  </w:t>
      </w:r>
    </w:p>
    <w:p w14:paraId="696FAA1B">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产业扶持政策方面，除研发费用加计扣除外，国家及地方层面针对科技服务细分领域的专项支持持续加码。例如，2023年国家科技服务业创新发展专项基金重点投向技术转移、检验检测、知识产权运营等领域，立项120个项目，总资助金额达50亿元，其中30%用于支持中小科技服务企业的模式创新。地方层面，深圳推出“科技服务券”政策，2022-2023年累计发放券额超2亿元，覆盖3000余家中小科技企业，企业可凭券抵扣技术咨询、知识产权代理等服务费用，有效降低了服务采购成本。  </w:t>
      </w:r>
    </w:p>
    <w:p w14:paraId="79DCFFDA">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监管规范政策方面，行业合规框架不断完善，为企业策划划定清晰边界。《科技服务业统计分类（2023）》明确了技术服务、研发与设计服务等8大类细分领域的统计标准，帮助企业精准定位业务范畴；《数据安全法》《个人信息保护法》要求科技服务企业在数据处理、存储等环节强化安全管控，例如某头部云服务企业在策划金融科技服务方案时，依据法规优化了数据加密与访问控制流程，助力客户通过等保三级认证，提升了方案的合规竞争力。  </w:t>
      </w:r>
    </w:p>
    <w:p w14:paraId="4C8A327E">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区域协同政策方面，跨区域资源整合成为政策支持重点。长三角科技服务一体化发展联盟推动上海、江苏、浙江、安徽联合发布《协同发展行动计划》，2023年实现跨区域技术转移项目超1000项，交易额突破200亿元；京津冀地区则建立科技服务资源共享平台，整合三地检验检测机构1200余家，为企业提供跨区域一站式服务。  </w:t>
      </w:r>
    </w:p>
    <w:p w14:paraId="685FB842">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综上，科技服务企业在策划时需动态跟踪政策变化，一方面利用产业扶持政策降低成本、拓展业务，另一方面通过合规调整规避风险，同时借助区域协同政策实现资源联动，让政策环境成为策划的重要支撑。</w:t>
      </w:r>
    </w:p>
    <w:p w14:paraId="10494BF7">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3.1.3</w:t>
      </w:r>
    </w:p>
    <w:p w14:paraId="5547E635">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3.1.3科技服务行业的经济、社会与技术环境分析  </w:t>
      </w:r>
    </w:p>
    <w:p w14:paraId="474E7D56">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经济环境维度需聚焦产业需求与资源配置效率，为策划提供市场规模与盈利空间的判断依据。随着我国经济向高质量发展转型，产业结构持续优化，2023年我国科技服务业市场规模突破12万亿元，同比增长15.6%，其中数字技术服务、研发设计服务等细分领域增速超过20%。从需求侧看，制造业数字化转型催生大量科技服务需求，例如2023年制造业企业用于科技服务的投入占比提升至12.3%，较2022年增长3.1个百分点；从供给侧看，资本市场对科技服务企业的支持力度加大，2023年科技服务行业融资额达1800亿元，同比增长22%，为企业扩张与技术研发提供资金保障。此外，中小企业对性价比高的科技服务需求激增，推动行业向轻量化、模块化服务模式转型，例如某SaaS企业推出按使用量付费的云服务套餐，2023年客户数量增长40%。  </w:t>
      </w:r>
    </w:p>
    <w:p w14:paraId="578B956E">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社会环境维度需关注用户认知与人才供给，把握市场需求的深层驱动因素。一方面，企业数字化转型意识普遍增强，超过70%的中小企业将数字化转型列为核心战略，对科技服务的接受度与依赖度显著提升；另一方面，科技服务行业人才缺口持续扩大，2023年我国科技服务行业人才需求达280万人，其中AI算法工程师、数据分析师等高端人才缺口超50万人，这要求企业在策划时需注重人才培养与合作，例如某科技服务企业与高校共建实训基地，定向培养技术人才，缓解人才短缺问题。此外，社会对绿色可持续发展的重视也推动科技服务向低碳化方向延伸，例如企业对碳足迹核算、绿色技术咨询等服务的需求年增长率超过30%。  </w:t>
      </w:r>
    </w:p>
    <w:p w14:paraId="39B6BB02">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技术环境维度需跟踪前沿技术迭代与应用场景拓展，为策划提供技术创新的方向指引。当前，AI大模型、云计算、区块链等技术的突破为科技服务行业带来新机遇：AI大模型的普及推动智能客服、自动化分析等服务的升级，某智能客服企业引入GPT-4技术后，客户问题解决率提升至92%；云计算的成熟降低了科技服务的部署成本，2023年云服务在科技服务中的占比达65%，较2022年增长8个百分点；区块链技术则在知识产权保护、数据溯源等领域应用广泛，例如某知识产权服务企业利用区块链技术构建数字版权存证平台，服务效率提升50%。同时，技术迭代速度加快要求企业在策划时保持技术敏感度，定期更新服务内容，例如某大数据服务企业每季度推出一次技术升级包，确保服务始终处于行业前沿。  </w:t>
      </w:r>
    </w:p>
    <w:p w14:paraId="48433327">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综上，经济、社会与技术环境共同构成科技服务行业的宏观发展基础，企业在策划时需综合研判各维度的变化趋势，将环境机遇转化为策划优势，同时应对潜在挑战，确保方案的可行性与前瞻性。</w:t>
      </w:r>
    </w:p>
    <w:p w14:paraId="7D5E8FBD">
      <w:pPr>
        <w:pStyle w:val="4"/>
        <w:numPr>
          <w:ilvl w:val="0"/>
          <w:numId w:val="15"/>
        </w:numPr>
        <w:ind w:left="0" w:leftChars="0" w:firstLine="0" w:firstLineChars="0"/>
        <w:outlineLvl w:val="0"/>
        <w:rPr>
          <w:b w:val="0"/>
          <w:bdr w:val="none" w:sz="0" w:space="0"/>
        </w:rPr>
      </w:pPr>
      <w:bookmarkStart w:id="27" w:name="_Toc32363"/>
      <w:r>
        <w:t>SWOT分析：内外部资源的综合研判</w:t>
      </w:r>
      <w:bookmarkEnd w:id="27"/>
    </w:p>
    <w:p w14:paraId="1EB75BFF">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SWOT分析是商务策划中最常用的内外部综合分析工具，它通过对企业的优势（Strengths）、劣势（Weaknesses）、机会（Opportunities）与威胁（Threats）四个维度的分析，帮助企业全面掌握内外部发展态势，进而制定针对性策略。对于科技服务企业而言，SWOT分析可助力其清晰认知自身优劣势与外部环境的机会、威胁，明确自身市场定位，制定适配性策划方案。如图3_1所示，SWOT分析的矩阵将这四个维度进行了整合，清晰地展现了内外部的情况，帮助企业制定对应的策略。</w:t>
      </w:r>
    </w:p>
    <w:p w14:paraId="14D817FF">
      <w:pPr>
        <w:jc w:val="center"/>
      </w:pPr>
      <w:r>
        <w:drawing>
          <wp:inline distT="0" distB="0" distL="114300" distR="114300">
            <wp:extent cx="2799080" cy="1492250"/>
            <wp:effectExtent l="0" t="0" r="127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2799080" cy="1492250"/>
                    </a:xfrm>
                    <a:prstGeom prst="rect">
                      <a:avLst/>
                    </a:prstGeom>
                  </pic:spPr>
                </pic:pic>
              </a:graphicData>
            </a:graphic>
          </wp:inline>
        </w:drawing>
      </w:r>
    </w:p>
    <w:p w14:paraId="0977F141">
      <w:pPr>
        <w:pStyle w:val="169"/>
        <w:widowControl/>
      </w:pPr>
      <w:r>
        <w:t>图3_1 SWOT分析矩阵图</w:t>
      </w:r>
    </w:p>
    <w:p w14:paraId="1AFC08B7">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注：本图展示了SWOT分析的四象限矩阵，将内外部因素进行了整合，清晰呈现了优势、劣势、机会与威胁四个维度的分析框架。</w:t>
      </w:r>
    </w:p>
    <w:p w14:paraId="26CF0C3B">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该矩阵图清晰地将SWOT分析的四个维度进行了整合，从内部因素与外部因素两个维度，将四个维度分为四个象限。左上角的优势－机会（SO）象限，是企业的优势与外部的机会结合的区域，在这个区域，企业可以采用增长型的策略，利用自身的优势，抓住外部的机会，实现快速的增长；右上角的劣势－机会（WO）象限，是企业的劣势与外部的机会结合的区域，在这个区域，企业可以采用扭转型的策略，通过弥补自身的劣势，抓住外部的机会；左下角的优势－威胁（ST）象限，是企业的优势与外部的威胁结合的区域，在这个区域，企业可以采用多元化的策略，利用自身的优势，应对外部的威胁，拓展新的业务；右下角的劣势－威胁（WT）象限，是企业的劣势与外部的威胁结合的区域，在这个区域，企业可以采用防御型的策略，收缩业务，规避风险，弥补自身的劣势。该矩阵为企业战略制定搭建了清晰框架，助力企业依据自身内外部实际情况，制定适配性策略。</w:t>
      </w:r>
    </w:p>
    <w:p w14:paraId="71655190">
      <w:pPr>
        <w:pStyle w:val="5"/>
        <w:numPr>
          <w:ilvl w:val="0"/>
          <w:numId w:val="17"/>
        </w:numPr>
        <w:ind w:left="0" w:leftChars="0" w:firstLine="0" w:firstLineChars="0"/>
        <w:outlineLvl w:val="1"/>
        <w:rPr>
          <w:rFonts w:hint="eastAsia" w:ascii="SimHei" w:hAnsi="SimHei" w:eastAsia="SimHei" w:cs="SimHei"/>
          <w:b w:val="0"/>
          <w:bdr w:val="none" w:sz="0" w:space="0"/>
        </w:rPr>
      </w:pPr>
      <w:bookmarkStart w:id="28" w:name="_Toc9625"/>
      <w:r>
        <w:t>科技服务行业的政策环境分析</w:t>
      </w:r>
      <w:bookmarkEnd w:id="28"/>
    </w:p>
    <w:p w14:paraId="011F6B54">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政策环境是科技服务行业宏观环境的重要组成部分，近年来，国家出台了一系列的政策，扶持科技服务行业的发展，这些政策，为科技服务企业的发展，提供了很好的环境，企业在策划的过程中，必须要充分了解这些政策，利用这些政策，提升企业的竞争力。</w:t>
      </w:r>
    </w:p>
    <w:p w14:paraId="2F65AD5A">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首先是税收优惠政策，国家对于科技服务企业，出台了很多的税收优惠政策，比如高新技术企业的所得税优惠，研发费用加计扣除，软件企业的增值税优惠等，这些政策，能够帮助企业降低成本，提升企业的盈利能力。比如，成都的某科技服务企业，在策划的过程中，就充分地利用了这些政策，通过知识产权的构建，成功地通过了高新技术企业的认定，享受到了15%的所得税优惠，同时，研发费用加计扣除，也帮助企业降低了税负，总共节税超过了150万元，这就是政策环境分析的典型应用。</w:t>
      </w:r>
    </w:p>
    <w:p w14:paraId="43E1100F">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其次是产业扶持政策，国家出台了很多的产业扶持政策，比如科技型中小企业的补贴，创新基金的补贴，服务业发展的补贴等，这些补贴，能够帮助企业获得资金的支持，缓解企业的资金压力，尤其是对于创业期的科技服务企业而言，这些补贴，是非常重要的，能够帮助企业渡过创业的难关。</w:t>
      </w:r>
    </w:p>
    <w:p w14:paraId="0D654C1B">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第三个是知识产权的保护政策，近年来，国家越来越重视知识产权的保护，出台了一系列政策强化知识产权保护，比如2015年国务院发布《新形势下加快知识产权强国建设的若干意见》、2016年发布《“十三五”国家知识产权保护和运用规划》等多份重要政策文件，还通过优化纠纷化解、构建全球维权网络，建设77家国家级知识产权保护中心和48家快速维权中心等系统性举措加强知识产权保护。这对于科技服务企业而言，是非常重要的，因为科技服务企业的核心资产就是知识产权，知识产权的保护，能够帮助企业保护自己的技术，避免被侵权，还能借助知识产权金融服务获得发展资金，比如“十四五”以来银行业金融机构累计发放知识产权质押贷款超6500亿元，有效提升企业的竞争力。</w:t>
      </w:r>
    </w:p>
    <w:p w14:paraId="4B629CB0">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最后是行业的监管政策，科技服务行业的监管政策，也在不断地完善，比如数据安全的监管，个人信息保护的监管，这些政策，对于科技服务企业而言，是必须遵守的，企业在策划的过程中，必须要充分了解这些监管政策，确保企业的业务，符合监管的要求，避免因为违规，给企业带来损失。</w:t>
      </w:r>
    </w:p>
    <w:p w14:paraId="64D3A834">
      <w:pPr>
        <w:pStyle w:val="5"/>
        <w:numPr>
          <w:ilvl w:val="0"/>
          <w:numId w:val="17"/>
        </w:numPr>
        <w:ind w:left="0" w:leftChars="0" w:firstLine="0" w:firstLineChars="0"/>
        <w:outlineLvl w:val="1"/>
        <w:rPr>
          <w:rFonts w:hint="eastAsia" w:ascii="SimHei" w:hAnsi="SimHei" w:eastAsia="SimHei" w:cs="SimHei"/>
          <w:b w:val="0"/>
          <w:bdr w:val="none" w:sz="0" w:space="0"/>
        </w:rPr>
      </w:pPr>
      <w:bookmarkStart w:id="29" w:name="_Toc31868"/>
      <w:r>
        <w:t>经济环境对科技服务的影响</w:t>
      </w:r>
      <w:bookmarkEnd w:id="29"/>
    </w:p>
    <w:p w14:paraId="10C38E62">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经济环境，是影响科技服务行业的重要因素，经济的发展，会影响客户的需求，影响客户的支付能力，从而影响科技服务企业的业务。2023年末的数据显示，全国科学研究与技术服务业的法人单位数量达到了211.8万个，从业人员也达到了1700.3万人，分别比2018年增加了66.0%和43.7%；2023年全年实现营业收入86046.4亿元，比2018年增长了92.5%，这些数据直观反映出经济环境优化下，科技服务行业客户需求释放、企业业务规模扩张的发展态势。近年来，我国的经济，进入了高质量发展的阶段，经济的结构，在不断地升级，这对于科技服务行业而言，是很大的机会，因为企业的数字化转型的需求，越来越强烈，越来越多的企业，愿意投入资金，进行数字化的转型，这就给科技服务企业，带来了很大的市场。</w:t>
      </w:r>
    </w:p>
    <w:p w14:paraId="319E92E6">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首先是经济的增长，经济的增长，会带来企业的收入的增长，企业的支付能力，也会随之增长，企业愿意投入更多的资金，来提升自己的竞争力，这就会增加对于科技服务的需求。比如，在经济增长比较快的时候，很多制造业的企业，都会投入资金，进行设备的升级，进行数字化的转型，这就会增加对于预测性维护、工业互联网等科技服务的需求。</w:t>
      </w:r>
    </w:p>
    <w:p w14:paraId="412C7CBB">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其次是经济的结构，经济的结构的升级，会带来产业的升级，传统的产业，都在进行数字化的转型，这就会带来大量的科技服务的需求，比如，传统的制造业，正在向智能制造转型，这就需要大量的科技服务，比如工业互联网、AI、大数据等，这就给科技服务企业，带来了很大的市场。</w:t>
      </w:r>
    </w:p>
    <w:p w14:paraId="61206FC7">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第三个是经济的周期，经济的周期，会影响科技服务的需求，在经济下行的时候，企业会压缩成本，会减少对科技服务的投入，这就会导致科技服务企业的业务，受到影响，而在经济上行的时候，企业会增加投入，科技服务的需求，就会增长。因此，企业在策划的过程中，必须考虑经济周期，提前做好准备，应对经济周期的变化。</w:t>
      </w:r>
    </w:p>
    <w:p w14:paraId="11E63501">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比如，据工信部数据显示，2022年我国规模以上互联网和相关服务企业完成互联网业务收入14590亿元，同比下降1.1%，在这样的经济下行环境下，很多科技服务企业都受到了影响。不过国家发改委数据显示2022年1-7月信息技术服务收入同比增长11%，行业仍有增长空间，智联科技就在策划的过程中考虑到了经济周期的因素，提前调整了产品的价格，推出了针对中小企业的优惠产品，帮助中小企业降低数字化转型的成本，从而抓住了市场机会，实现了业务的增长，这就是经济环境分析的典型应用。</w:t>
      </w:r>
    </w:p>
    <w:p w14:paraId="67DEE995">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全章总结</w:t>
      </w:r>
    </w:p>
    <w:p w14:paraId="04A5C6B3">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综上所述，本章围绕科技服务型企业商务策划的核心方法论展开，系统阐述了PEST与五力模型、SWOT分析等工具的框架与应用逻辑，并结合政策、经济等环境维度的深度剖析及智联科技、诺海通、阿里云等真实企业案例的实践验证，构建了从理论到实践的完整知识体系。PEST分析帮助企业全面扫描宏观环境中的政策红利、经济趋势、社会需求与技术变革，为策划提供坚实的外部依据；SWOT分析则通过整合内外部资源，引导企业明确自身优劣势，制定增长、扭转型、多元化或防御型策略，实现资源的最优配置。政策环境中的税收优惠、产业扶持与知识产权保护政策，以及经济环境下的需求增长、结构升级与周期波动，进一步揭示了宏观因素对企业策划的直接影响。本章的内容不仅帮助学习者掌握工具的使用方法，更通过案例将理论与实际场景结合，让策划思路更具可操作性，为后续深入学习具体案例的策划细节及风险管控策略奠定了扎实的理论与实践基础。</w:t>
      </w:r>
    </w:p>
    <w:p w14:paraId="73530525">
      <w:pPr>
        <w:rPr>
          <w:rFonts w:hint="eastAsia" w:cs="Times New Roman"/>
          <w:b w:val="0"/>
          <w:sz w:val="24"/>
          <w:szCs w:val="24"/>
          <w:lang w:val="en-US" w:eastAsia="zh-CN"/>
        </w:rPr>
      </w:pPr>
      <w:r>
        <w:rPr>
          <w:rFonts w:hint="eastAsia" w:cs="Times New Roman"/>
          <w:b w:val="0"/>
          <w:sz w:val="24"/>
          <w:szCs w:val="24"/>
          <w:lang w:val="en-US" w:eastAsia="zh-CN"/>
        </w:rPr>
        <w:br w:type="page"/>
      </w:r>
    </w:p>
    <w:p w14:paraId="02A6EF03">
      <w:pPr>
        <w:pStyle w:val="3"/>
        <w:numPr>
          <w:ilvl w:val="0"/>
          <w:numId w:val="0"/>
        </w:numPr>
        <w:ind w:left="440" w:leftChars="0" w:firstLine="0" w:firstLineChars="0"/>
        <w:rPr>
          <w:rFonts w:hint="eastAsia" w:ascii="SimHei" w:hAnsi="SimHei" w:eastAsia="SimHei" w:cs="SimHei"/>
          <w:b w:val="0"/>
          <w:bdr w:val="none" w:sz="0" w:space="0"/>
        </w:rPr>
      </w:pPr>
      <w:bookmarkStart w:id="30" w:name="_Toc31099"/>
      <w:r>
        <w:rPr>
          <w:rFonts w:hint="eastAsia" w:ascii="SimHei" w:hAnsi="SimHei" w:eastAsia="SimHei" w:cs="SimHei"/>
          <w:b w:val="0"/>
          <w:color w:val="000000"/>
          <w:kern w:val="44"/>
          <w:sz w:val="32"/>
          <w:szCs w:val="44"/>
          <w:bdr w:val="none" w:sz="0" w:space="0"/>
          <w:lang w:bidi="ar-SA"/>
        </w:rPr>
        <w:t>第四章</w:t>
      </w:r>
      <w:r>
        <w:t>科技服务型企业商务策划的实践案例解析</w:t>
      </w:r>
      <w:bookmarkEnd w:id="30"/>
    </w:p>
    <w:p w14:paraId="67B7FEE4">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本章将通过真实的实践案例，深入解析商务策划在科技服务型企业中的实际应用，将前文所学的理论、原则与方法融入企业实际实践，帮助学习者建立直观认知，掌握策划实操方法。</w:t>
      </w:r>
    </w:p>
    <w:p w14:paraId="32472E23">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理论层面，本章将通过案例，复盘企业的策划过程，分析企业在策划中是如何运用前面学习的原则与方法的，帮助学习者理解理论与实践的结合点，深化对理论知识的理解。</w:t>
      </w:r>
    </w:p>
    <w:p w14:paraId="276E5F7E">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方法体系上，本章将总结各个案例中的策划经验，提炼出可复制的策划方法，帮助学习者掌握如何将理论方法运用到实际策划工作中，解决现实问题。</w:t>
      </w:r>
    </w:p>
    <w:p w14:paraId="2D674638">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实践场景方面，本章将涵盖工业科技服务、通信技术服务、云服务、软件开发服务等多个不同的科技服务领域，同时包含成功案例与失败案例，帮助学习者洞悉不同领域的策划特点，同时从失败案例中汲取教训，规避同类失误，为后续的风险管控与未来趋势学习筑牢基础。</w:t>
      </w:r>
    </w:p>
    <w:p w14:paraId="3786129A">
      <w:pPr>
        <w:pStyle w:val="4"/>
        <w:outlineLvl w:val="0"/>
      </w:pPr>
      <w:bookmarkStart w:id="31" w:name="_Toc2227"/>
      <w:r>
        <w:t>4.1 工业科技服务案例：智联科技的预测性维护平台</w:t>
      </w:r>
      <w:bookmarkEnd w:id="31"/>
    </w:p>
    <w:p w14:paraId="7651278D">
      <w:pPr>
        <w:pStyle w:val="5"/>
        <w:numPr>
          <w:ilvl w:val="0"/>
          <w:numId w:val="18"/>
        </w:numPr>
        <w:ind w:left="0" w:leftChars="0" w:firstLine="0" w:firstLineChars="0"/>
        <w:outlineLvl w:val="1"/>
        <w:rPr>
          <w:rFonts w:hint="eastAsia" w:ascii="SimHei" w:hAnsi="SimHei" w:eastAsia="SimHei" w:cs="SimHei"/>
          <w:b w:val="0"/>
          <w:bdr w:val="none" w:sz="0" w:space="0"/>
        </w:rPr>
      </w:pPr>
      <w:bookmarkStart w:id="32" w:name="_Toc26333"/>
      <w:r>
        <w:t>企业背景与行业痛点</w:t>
      </w:r>
      <w:bookmarkEnd w:id="32"/>
    </w:p>
    <w:p w14:paraId="3644C720">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智联科技是一家专注于工业互联网与人工智能的科技服务企业，成立于2018年，核心团队来自知名的互联网企业与制造业企业，有着丰富的技术与行业经验。企业成立之初，团队便发现传统制造业设备维护模式存在诸多痛点，其核心模式可归为事后抢修与定期维护两类，事后抢修是设备故障发生后的被动维修，会直接造成生产中断，给企业带来巨额损失，定期维护则忽略设备实际状态，按固定周期执行，易造成过度维护，既浪费大量维护成本，还可能因不必要停机影响生产。根据相关行业研究数据，传统的维护模式导致的停机损失，通常占制造业生产成本的15%-25%，而且这个比例还在逐年增长——一方面制造业的设备越来越复杂，维护成本持续走高，另一方面传统维护模式的滞后性也会加剧损失，比如2022年就有某钢铁企业因关键设备故障，仅停工一个月就产生了超过5000万元的直接经济损失。</w:t>
      </w:r>
    </w:p>
    <w:p w14:paraId="0220126D">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除了这些痛点之外，传统的维护模式还存在着很多其他的问题，比如维护的经验无法传承，资深工程师的实操经验常随人员流失而断层，新工程师往往需要漫长周期才能积累足够的运维经验；维护的数据无法共享，各个工厂的维护数据都是孤立的，无法进行汇总分析，无法发现共性的问题；维护决策多依赖经验而非数据支撑，导致决策精准度不足，常无法准确判断设备故障，进而拉低维护效率。手工记录维修历史导致信息误差频发、备件浪费占用超20%流动资金、部门数据孤岛造成协同低效等设备管理的七大痛点，对于制造业的企业而言，都是非常大的困扰，像某钢铁企业就因传统管理模式导致设备整体利用率不足60%，损失惨重。很多制造业的企业都想要解决这些问题，但是由于缺乏数字化管理相关的技术与能力，一直没有找到有效的方法，这就给智联科技带来了很大的市场机会。</w:t>
      </w:r>
    </w:p>
    <w:p w14:paraId="3D587B41">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对于智联科技而言，团队自身有着物联网与人工智能的技术能力，能够通过传感器采集设备的运行数据，然后通过AI算法对数据进行分析，预测设备的故障，从而实现预测性的维护，解决传统维护模式的痛点。但在初期，团队对市场情况不甚了解，既不清楚客户的具体需求，也不知道如何将技术转化为产品、将产品推向客户，因此，团队需要进行详细的商务策划，明确策划的目标，制定具体的行动方案，从而将技术的优势转化为市场的优势，实现企业的发展。</w:t>
      </w:r>
    </w:p>
    <w:p w14:paraId="11E5B933">
      <w:pPr>
        <w:pStyle w:val="5"/>
        <w:numPr>
          <w:ilvl w:val="0"/>
          <w:numId w:val="18"/>
        </w:numPr>
        <w:ind w:left="0" w:leftChars="0" w:firstLine="0" w:firstLineChars="0"/>
        <w:outlineLvl w:val="1"/>
        <w:rPr>
          <w:rFonts w:hint="eastAsia" w:ascii="SimHei" w:hAnsi="SimHei" w:eastAsia="SimHei" w:cs="SimHei"/>
          <w:b w:val="0"/>
          <w:bdr w:val="none" w:sz="0" w:space="0"/>
        </w:rPr>
      </w:pPr>
      <w:bookmarkStart w:id="33" w:name="_Toc3485"/>
      <w:r>
        <w:t>商务策划的核心思路</w:t>
      </w:r>
      <w:bookmarkEnd w:id="33"/>
    </w:p>
    <w:p w14:paraId="734A1EFE">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在进行商务策划的时候，智联科技首先明确了策划的目标，就是要打造一款基于物联网与AI的预测性维护SaaS平台，解决传统制造业设备维护的痛点。传统维护模式不仅存在40%的预防性维护成本浪费在无故障资产上的问题，且小型工厂每小时停机成本就可能高达数万美元，而这款平台可像某汽车制造厂引入的AI监控系统那样，将设备故障响应时间从数小时缩短到几分钟，帮助制造业企业降低维护成本，减少停机损失，同时实现提升生产效率、延长设备使用寿命等8项核心价值。为了实现这个目标，团队首先进行了详细的市场调研，收集了大量的制造业设备维护的相关信息，了解了客户的具体需求，了解了市场的竞争情况，然后运用PEST与SWOT的分析方法，对企业的内外部情况进行了分析，明确了企业的优势是技术的优势，团队有着丰富的物联网与AI的技术能力，劣势是企业的品牌知名度很低，客户的信任度不足，机会是市场需求旺盛，据博研咨询数据显示，2023年中国工业管理与维护服务行业市场规模达到约4500亿元人民币，且国家出台一系列政策扶持制造业数字化转型，比如《中国制造2025》计划明确推动智能制造发展，为相关技术应用提供了良好政策环境；威胁是市场竞争激烈，华为、西门子等大型企业已布局中国制造业预测性维护市场，未来竞争会愈发激烈。</w:t>
      </w:r>
    </w:p>
    <w:p w14:paraId="0FC2A450">
      <w:pPr>
        <w:pStyle w:val="5"/>
        <w:numPr>
          <w:ilvl w:val="0"/>
          <w:numId w:val="18"/>
        </w:numPr>
        <w:ind w:left="0" w:leftChars="0" w:firstLine="0" w:firstLineChars="0"/>
        <w:outlineLvl w:val="1"/>
        <w:rPr>
          <w:rFonts w:hint="eastAsia" w:ascii="SimHei" w:hAnsi="SimHei" w:eastAsia="SimHei" w:cs="SimHei"/>
          <w:b w:val="0"/>
          <w:bdr w:val="none" w:sz="0" w:space="0"/>
        </w:rPr>
      </w:pPr>
      <w:bookmarkStart w:id="34" w:name="_Toc26522"/>
      <w:r>
        <w:t>策划方案的落地实施</w:t>
      </w:r>
      <w:bookmarkEnd w:id="34"/>
    </w:p>
    <w:p w14:paraId="3EC07223">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在明确了策划的思路之后，智联科技开始推进方案的落地，首先，团队选择了钢铁行业作为切入点，因为钢铁行业的设备很大，维护的成本很高，痛点也很明显，而且，团队的核心成员，有很多都是来自钢铁行业，对于这个行业很了解，能够更好地理解客户的需求。团队首先找了一家大型的钢铁企业，作为试点客户，免费地为客户部署了平台，采集了设备的运行数据，然后通过AI算法，对数据进行分析，预测设备的故障。</w:t>
      </w:r>
    </w:p>
    <w:p w14:paraId="65F8409F">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在试点的过程中，团队不断地根据客户的反馈，调整产品的功能，比如，客户需要更直观的可视化的界面，团队就开发了可视化的 dashboard，让客户能够直观地看到设备的状态；客户需要预警的功能，团队就开发了预警的功能，当设备的状态出现异常的时候，自动地给客户的工程师发送预警信息；客户需要报表的功能，团队就开发了自动的报表功能，定期地给客户生成维护的报表，帮助客户进行管理。</w:t>
      </w:r>
    </w:p>
    <w:p w14:paraId="1964AAD3">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经过了三个月的试点，平台的效果，得到了客户的认可，平台成功地预测了12次设备的故障，帮助客户避免了停机的损失，总共超过了500万元，同时，平台也帮助客户，降低了维护的成本，减少了20%的维护的人力，这让客户非常的满意，最终，客户和智联科技，签订了年度的服务合同，金额超过了200万元，这是智联科技的第一个正式的客户，也验证了产品的可行性。</w:t>
      </w:r>
    </w:p>
    <w:p w14:paraId="3517EC02">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在试点成功之后，智联科技开始进行市场的推广，团队首先在钢铁行业进行推广，因为已经有了成功的案例，团队很容易地就获得了其他的钢铁企业的信任，在半年的时间里，团队就获得了10家钢铁企业的客户，收入超过了2000万元，然后，团队开始拓展其他的行业，比如石油化工、电力、汽车制造等，每个行业，都先找标杆客户进行试点，然后再进行推广，很快，团队的业务，就拓展到了多个行业，企业的规模，也快速地增长。</w:t>
      </w:r>
    </w:p>
    <w:p w14:paraId="4536A380">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在落地过程中，团队严格遵循既定的策划原则，首先是创新原则，团队创新了预测性维护的模式，破解了传统维护模式的痛点；其次是客户导向原则，团队始终以客户的需求为核心，不断地根据客户的反馈，调整产品；然后是动态调整原则，团队不断地根据市场的反馈，调整产品与推广的方案，适应市场的变化，这些原则，保障了策划的成功，帮助企业实现了快速的发展。</w:t>
      </w:r>
    </w:p>
    <w:p w14:paraId="0CD94FAF">
      <w:pPr>
        <w:pStyle w:val="5"/>
        <w:numPr>
          <w:ilvl w:val="0"/>
          <w:numId w:val="18"/>
        </w:numPr>
        <w:ind w:left="0" w:leftChars="0" w:firstLine="0" w:firstLineChars="0"/>
        <w:outlineLvl w:val="1"/>
        <w:rPr>
          <w:rFonts w:hint="eastAsia" w:ascii="SimHei" w:hAnsi="SimHei" w:eastAsia="SimHei" w:cs="SimHei"/>
          <w:b w:val="0"/>
          <w:bdr w:val="none" w:sz="0" w:space="0"/>
        </w:rPr>
      </w:pPr>
      <w:bookmarkStart w:id="35" w:name="_Toc31004"/>
      <w:r>
        <w:t>实施后的效果与价值</w:t>
      </w:r>
      <w:bookmarkEnd w:id="35"/>
    </w:p>
    <w:p w14:paraId="5014DC60">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在工业4.0时代，智能预测性维护系统正成为企业提升运营效率、降低维护成本的关键利器，市场呈现强劲增长态势。经过了两年的发展，智联科技的预测性维护平台，已经服务了超过100家的企业客户，覆盖了钢铁、石油化工、电力、汽车制造等多个行业，平台的年收入超过了1亿元，实现了快速的增长。对于客户而言，依托预测性维护技术打造的平台，帮助客户平均降低了30%的维护成本，减少了70%的非计划停机——要知道，仅仅一个小时的停机时间就可能使一家大型企业的生产力损失超过10万美元，并严重影响客户满意度，同时该平台还提升了20%的设备利用率。据IBM数据显示，将近一半的维护活动无效，而我们的平台通过实时监测设备运行状态、精准预测故障，避免了无效维护，切实为客户创造了显著价值。</w:t>
      </w:r>
    </w:p>
    <w:p w14:paraId="56BF8FD5">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比如，某钢铁企业，在使用了平台之后，非计划停机的次数，从原来的每年12次，降低到了每年2次，每次停机的损失，超过了100万元，仅此一项便为客户每年减少超1000万元损失，同时，维护的成本，也降低了30%，每年节省了超过200万元的维护成本，这让客户的竞争力，得到了很大的提升。</w:t>
      </w:r>
    </w:p>
    <w:p w14:paraId="0BB5BB5D">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对于智联科技而言，这个项目，帮助企业，建立了自己的品牌，在工业互联网的领域，获得了很高的知名度，同时，也帮助企业，建立了自己的产品体系，形成了标准化的产品，实现了规模化的复制，企业的盈利能力，也得到了很大的提升，毛利率超过了60%，远高于传统的项目制的科技服务企业。</w:t>
      </w:r>
    </w:p>
    <w:p w14:paraId="5815B92C">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同时，该项目也推动了行业发展，传统设备维护模式正被预测性维护模式取代，越来越多企业开始采用预测性维护服务，助力制造业数字化转型与行业升级。这也彰显了科技服务企业的价值：通过技术与服务创新，驱动产业升级，助推经济高质量发展。</w:t>
      </w:r>
    </w:p>
    <w:p w14:paraId="13104EFE">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这个案例，很好地展现了商务策划的作用，通过有效的策划，企业将技术的优势，转化为市场的优势，解决了客户的痛点，实现了企业的发展，同时，也推动了行业的发展，这就是商务策划的价值，也是我们学习商务策划的意义所在。</w:t>
      </w:r>
    </w:p>
    <w:p w14:paraId="4E7A78A6">
      <w:pPr>
        <w:pStyle w:val="3"/>
        <w:widowControl/>
      </w:pPr>
      <w:bookmarkStart w:id="36" w:name="_Toc1943"/>
      <w:r>
        <w:t>全章总结</w:t>
      </w:r>
      <w:bookmarkEnd w:id="36"/>
    </w:p>
    <w:p w14:paraId="0106B758">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综上所述，本章通过智联科技预测性维护平台的实践案例，完整呈现了科技服务型企业商务策划从目标设定、市场分析到方案落地与效果验证的全流程。案例中，智联科技以客户痛点为出发点，运用PEST、SWOT等分析工具明确自身定位，通过试点验证、迭代优化与行业拓展的路径实现商业价值，不仅为客户创造了显著的降本增效成果，也为企业自身构建了核心竞争力。同时，本章通过复盘案例，将商务策划的理论原则（如创新、客户导向、动态调整）与实操方法（如细分行业切入、标杆客户试点、标准化产品复制）深度融合，提炼出可迁移的策划框架，帮助学习者掌握“技术转化为市场优势”的关键逻辑。此外，案例中对行业趋势的把握（如制造业数字化转型政策红利）与风险应对（如市场竞争威胁）的策略，也为科技服务企业的商务策划提供了现实参考。最终，本章通过真实案例的解析，让学习者深刻理解商务策划在科技服务领域的核心价值——它不仅是连接技术与市场的桥梁，更是驱动企业成长、推动行业升级的重要引擎，为后续的商务策划实践奠定了坚实基础。</w:t>
      </w:r>
    </w:p>
    <w:p w14:paraId="182A2720">
      <w:pPr>
        <w:rPr>
          <w:rFonts w:hint="eastAsia" w:cs="Times New Roman"/>
          <w:b w:val="0"/>
          <w:sz w:val="24"/>
          <w:szCs w:val="24"/>
          <w:lang w:val="en-US" w:eastAsia="zh-CN"/>
        </w:rPr>
      </w:pPr>
      <w:r>
        <w:rPr>
          <w:rFonts w:hint="eastAsia" w:cs="Times New Roman"/>
          <w:b w:val="0"/>
          <w:sz w:val="24"/>
          <w:szCs w:val="24"/>
          <w:lang w:val="en-US" w:eastAsia="zh-CN"/>
        </w:rPr>
        <w:br w:type="page"/>
      </w:r>
    </w:p>
    <w:p w14:paraId="28137B95">
      <w:pPr>
        <w:pStyle w:val="3"/>
        <w:numPr>
          <w:ilvl w:val="0"/>
          <w:numId w:val="0"/>
        </w:numPr>
        <w:ind w:left="440" w:leftChars="0" w:firstLine="0" w:firstLineChars="0"/>
        <w:rPr>
          <w:rFonts w:hint="eastAsia" w:ascii="SimHei" w:hAnsi="SimHei" w:eastAsia="SimHei" w:cs="SimHei"/>
          <w:b w:val="0"/>
          <w:bdr w:val="none" w:sz="0" w:space="0"/>
        </w:rPr>
      </w:pPr>
      <w:bookmarkStart w:id="37" w:name="_Toc28365"/>
      <w:r>
        <w:rPr>
          <w:rFonts w:hint="eastAsia" w:ascii="SimHei" w:hAnsi="SimHei" w:eastAsia="SimHei" w:cs="SimHei"/>
          <w:b w:val="0"/>
          <w:color w:val="000000"/>
          <w:kern w:val="44"/>
          <w:sz w:val="32"/>
          <w:szCs w:val="44"/>
          <w:bdr w:val="none" w:sz="0" w:space="0"/>
          <w:lang w:bidi="ar-SA"/>
        </w:rPr>
        <w:t>第五章</w:t>
      </w:r>
      <w:r>
        <w:t>科技服务型企业商务策划的风险评估与管理</w:t>
      </w:r>
      <w:bookmarkEnd w:id="37"/>
    </w:p>
    <w:p w14:paraId="426AE202">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本章将深入介绍科技服务型企业商务策划中的风险评估与管理，帮助学习者识别策划过程中的风险，掌握风险的评估与应对方法，保障策划方案的顺利实施。</w:t>
      </w:r>
    </w:p>
    <w:p w14:paraId="4519AC51">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理论层面，本章将系统阐述商务策划风险的内涵与类型，解释风险的来源与特征，帮助学习者理解风险的本质，同时介绍风险管理的理论框架，帮助学习者建立全面的风险管理认知。</w:t>
      </w:r>
    </w:p>
    <w:p w14:paraId="47FE3541">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方法体系上，本章将介绍风险识别、风险评估、风险应对与风险监控的具体方法，比如头脑风暴法、德尔菲法、风险概率－影响矩阵、敏感性分析等，帮助学习者掌握如何识别、评估与应对策划中的风险，建立有效的风险管理体系。</w:t>
      </w:r>
    </w:p>
    <w:p w14:paraId="73DA0302">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实践场景方面，本章将结合真实的案例，包括成功的风险管控案例与失败的风险失控案例，比如参考资料1中涵盖的大型企业财务风险管控、互联网企业数据安全风险治理等十大跨行业风险管理案例，参考资料2中某科技公司市场策略失误、某餐饮企业供应链管理问题等不同风险类型的正反案例，以及参考资料4中某大型商业活动电力安全风险控制、人员安全风险控制等策划场景下的具体案例，帮助学习者理解风险管理在实际的策划工作中的应用，理解如何通过有效的风险管理，保障策划的成功，避免策划的失败，为后续的未来趋势的学习奠定基础。</w:t>
      </w:r>
    </w:p>
    <w:p w14:paraId="7EE25C2B">
      <w:pPr>
        <w:pStyle w:val="4"/>
        <w:numPr>
          <w:ilvl w:val="0"/>
          <w:numId w:val="19"/>
        </w:numPr>
        <w:ind w:left="0" w:leftChars="0" w:firstLine="0" w:firstLineChars="0"/>
        <w:outlineLvl w:val="0"/>
        <w:rPr>
          <w:rFonts w:hint="eastAsia" w:ascii="SimHei" w:hAnsi="SimHei" w:eastAsia="SimHei" w:cs="SimHei"/>
          <w:b w:val="0"/>
          <w:bdr w:val="none" w:sz="0" w:space="0"/>
        </w:rPr>
      </w:pPr>
      <w:bookmarkStart w:id="38" w:name="_Toc11818"/>
      <w:r>
        <w:t>商务策划风险的内涵与类型</w:t>
      </w:r>
      <w:bookmarkEnd w:id="38"/>
    </w:p>
    <w:p w14:paraId="2746ABC2">
      <w:pPr>
        <w:pStyle w:val="5"/>
        <w:numPr>
          <w:ilvl w:val="0"/>
          <w:numId w:val="20"/>
        </w:numPr>
        <w:ind w:left="0" w:leftChars="0" w:firstLine="0" w:firstLineChars="0"/>
        <w:outlineLvl w:val="1"/>
        <w:rPr>
          <w:rFonts w:hint="eastAsia" w:ascii="SimHei" w:hAnsi="SimHei" w:eastAsia="SimHei" w:cs="SimHei"/>
          <w:b w:val="0"/>
          <w:bdr w:val="none" w:sz="0" w:space="0"/>
        </w:rPr>
      </w:pPr>
      <w:bookmarkStart w:id="39" w:name="_Toc19020"/>
      <w:r>
        <w:t>商务策划风险的定义与特征</w:t>
      </w:r>
      <w:bookmarkEnd w:id="39"/>
    </w:p>
    <w:p w14:paraId="1BB535F8">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商务策划风险，是指在商务策划的过程中，由于各种不确定的因素，导致策划的结果与预期的目标发生偏离，从而给企业带来损失的可能性。对于科技服务企业而言，由于技术的不确定性、市场的不确定性，策划的风险会比传统的企业更高，因为科技服务企业的策划，往往涉及新的技术、新的市场，很多因素都是未知的，这就导致了风险的来源更多，风险的程度更高。因此，对于科技服务企业而言，风险的评估与管理，是商务策划中必不可少的环节，只有通过有效的风险管理，才能够保障策划的顺利实施，避免因为风险的发生，给企业带来过大的损失。</w:t>
      </w:r>
    </w:p>
    <w:p w14:paraId="6B89F86A">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商务策划风险的特征，首先是不确定性，这是其最基本的属性，具体表现为风险的发生时间、概率及影响均无定数；其次是客观性，风险是客观存在的，无法完全消除，企业仅能通过管理降低其发生概率、减轻影响；第三个是相对性，不同的企业，对于风险的承受能力是不同的，同样的风险，对于大型的企业而言，可能是很小的风险，而对于小型的科技服务企业而言，可能就是致命的风险；第四个是动态性，风险不是一成不变的，它会随着策划的过程，随着市场的变化，不断地发生变化，因此，风险管理也需要是动态的，需要不断地调整，适应风险的变化。</w:t>
      </w:r>
    </w:p>
    <w:p w14:paraId="4656F145">
      <w:pPr>
        <w:pStyle w:val="5"/>
        <w:numPr>
          <w:ilvl w:val="0"/>
          <w:numId w:val="20"/>
        </w:numPr>
        <w:ind w:left="0" w:leftChars="0" w:firstLine="0" w:firstLineChars="0"/>
        <w:outlineLvl w:val="1"/>
        <w:rPr>
          <w:rFonts w:hint="eastAsia" w:ascii="SimHei" w:hAnsi="SimHei" w:eastAsia="SimHei" w:cs="SimHei"/>
          <w:b w:val="0"/>
          <w:bdr w:val="none" w:sz="0" w:space="0"/>
        </w:rPr>
      </w:pPr>
      <w:bookmarkStart w:id="40" w:name="_Toc31653"/>
      <w:r>
        <w:t>技术风险的类型与表现</w:t>
      </w:r>
      <w:bookmarkEnd w:id="40"/>
    </w:p>
    <w:p w14:paraId="31D41223">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技术风险，是科技服务企业的策划中，最常见的风险之一，因为科技服务企业的业务，往往涉及新的技术，技术的风险，是非常高的。技术风险的类型，首先是技术的成熟度风险，很多新的技术，还不是很成熟，还处于研发的阶段，技术的效果，还没有得到验证，这就导致了，我们无法准确地预判，技术是否能够达到预期的效果，如果技术的成熟度不足，那么，策划的方案，就会失败。</w:t>
      </w:r>
    </w:p>
    <w:p w14:paraId="2083241B">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比如，很多科技服务企业，在策划的时候，采用了一个新的技术，认为这个技术能够解决客户的问题，但是实际上，这个技术还不是很成熟，无法达到预期的效果，最终导致项目的失败，给企业带来了很大的损失。就像某些智能穿戴设备企业，曾因技术成熟度不足，产品续航短、操作复杂，难以实现普及，最终项目折戟；还有医疗科技企业Theranos，声称其技术能通过几滴血完成全面血液检测，但实际上技术根本达不到宣传的效果，无法提供准确的测试结果，最终公司被迫关闭，付出了惨痛的代价。比如2024年推出的Rabbit r1 AI语音助手，在策划阶段宣称借助大语言模型，能通过语音指令实现拍照、叫车等多种操作，为用户提供比手机更便捷的交互体验，然而实际落地后，这款设备不仅功能受限，无法打电话、浏览网页，还暴露出系统漏洞、性能不稳定、安全漏洞等问题，实际使用体验远低于预期，产品热度迅速消退，让这家初创企业陷入发展困境。</w:t>
      </w:r>
    </w:p>
    <w:p w14:paraId="0FCC8B75">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其次是技术的迭代风险，当前技术革新速度持续加快，迭代周期不断缩短，比如全球AI技术迭代周期已缩短至3个月，生成式AI的技术渗透速度更是比移动互联网快6倍，今天的先进技术，可能很快就会被新的技术所取代。如果企业的策划没有考虑到技术的迭代，那么企业的产品很快就会被淘汰，导致策划的失败。比如，不少手机零部件企业在规划阶段未考量技术迭代趋势，投入大量资源研发基于旧技术的产品，新技术却很快问世，旧产品迅速被淘汰，给企业造成损失。</w:t>
      </w:r>
    </w:p>
    <w:p w14:paraId="5395F50A">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第三个是技术的知识产权风险，很多科技服务企业的技术，没有很好地保护，很容易被侵权，或者，企业的技术，侵犯了别人的知识产权，这就会给企业带来风险。比如，不少企业在研发前未开展知识产权检索，导致研发的技术侵犯他人专利，引发侵权诉讼，给企业造成巨额损失，甚至导致业务停滞。</w:t>
      </w:r>
    </w:p>
    <w:p w14:paraId="4C7261E8">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第四个是技术的集成风险，很多科技服务的项目，需要集成多个不同的技术，这些技术，来自不同的供应商，在集成的过程中，很容易出现问题，比如，技术的兼容性的问题，不同的技术，无法很好地协同，导致项目的失败。比如，很多企业的数字化转型的项目，需要集成ERP、CRM、物联网等多个系统，在集成的过程中，很容易出现兼容性的问题，导致项目的延期，甚至失败。</w:t>
      </w:r>
    </w:p>
    <w:p w14:paraId="1C81BF8B">
      <w:pPr>
        <w:pStyle w:val="5"/>
        <w:numPr>
          <w:ilvl w:val="0"/>
          <w:numId w:val="20"/>
        </w:numPr>
        <w:ind w:left="0" w:leftChars="0" w:firstLine="0" w:firstLineChars="0"/>
        <w:outlineLvl w:val="1"/>
        <w:rPr>
          <w:rFonts w:hint="eastAsia" w:ascii="SimHei" w:hAnsi="SimHei" w:eastAsia="SimHei" w:cs="SimHei"/>
          <w:b w:val="0"/>
          <w:bdr w:val="none" w:sz="0" w:space="0"/>
        </w:rPr>
      </w:pPr>
      <w:bookmarkStart w:id="41" w:name="_Toc22792"/>
      <w:r>
        <w:t>市场风险的识别与特征</w:t>
      </w:r>
      <w:bookmarkEnd w:id="41"/>
    </w:p>
    <w:p w14:paraId="7028E9FC">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市场风险，是科技服务企业的策划中的另一个重要的风险，市场的不确定性，是非常高的，很多时候，我们无法准确地预判市场的反应，这就导致了市场的风险。市场风险的类型，首先是需求的风险，客户需求并非一成不变，不少企业在策划阶段认定的客户需求，待产品开发完成时已发生改变，或与实际需求存在偏差，最终导致产品无法契合客户需求、难以获得市场认可。</w:t>
      </w:r>
    </w:p>
    <w:p w14:paraId="2AFC9B79">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比如，很多科技服务企业，在策划的时候，认为客户需要某个产品，于是，投入了大量的资源，开发了这个产品，但是，当产品开发出来之后，发现，客户根本不需要这个产品，或者，客户的需求，已经变化了，导致产品，无法卖出去，企业的投入，都打了水漂，这就是需求的风险，也是很多科技服务企业，创新失败的重要原因。正如2024年《麻省理工科技评论》发布的“2024年最失败科技榜”中所呈现的案例：某大型互联网公司的智能音箱产品，因未精准契合用户对隐私安全的核心需求，引发广泛争议，最终销量大幅下滑；还有新创公司Bowery打造的垂直农场，虽宣称产量是传统农场百倍，但因未考虑用户对产品售价的接受度，在筹得逾7亿美元后仍宣告破产。这些真实案例都印证了误判用户需求对科技企业创新的致命影响。</w:t>
      </w:r>
    </w:p>
    <w:p w14:paraId="4EA0369C">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其次是竞争的风险，市场的竞争是非常激烈的，以科技服务、信息技术服务这类行业为例，市场中有着国际知名企业、本土科技公司、传统大型IT企业、互联网企业等多元竞争主体，竞争方向覆盖服务质量、技术创新、价格等多个维度，众多企业纷纷涌入，产品和服务同质化现象严重。很多时候，当你策划一个产品的时候，很多其他的企业也在策划同样的产品，当你的产品推出的时候，市场上已经有了很多的竞争对手，导致你无法获得市场份额，最终造成策划的失败。比如，据彭博商业调查显示，大约有4/5的SaaS创业公司在一年内就宣告失败了，其中不少企业就栽在了竞争风险上。像云袋、打零工、获客宝等近40余家SaaS企业，在策划时没有考虑到竞争的风险，投入大量资源开发产品，可当产品推出时，市场上已经有了很多同类产品，而且竞争对手品牌更大、价格更低，导致它们无法获得客户，最终项目失败，黯然出现在SaaS企业死亡名单中。</w:t>
      </w:r>
    </w:p>
    <w:p w14:paraId="7CE07084">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第三个是客户的支付能力的风险，很多时候，客户有需求，但是，客户的支付能力，不足，客户无法承担产品的价格，导致你，无法获得收入，导致策划的失败。比如，很多科技服务企业，针对中小企业，开发了数字化转型的产品，但是，中小企业的支付能力不足，根据中国中小企业协会2023年9月发布的《中小微企业数字化转型状况调研报告》显示，87%的中小微企业数字化投入仅占营业收入的1%-6%，另有8%的企业占比在6%以上；而《中国中小企业数字化转型报告2024》的数据也显示，2023年中小企业数字化资金投入占营业收入的比重主要集中在1%—2%和小于1%两个区间，分别占比50.4%和40.3%，可见中小企业难以承担产品的价格，导致产品无法卖出去，企业的收入无法达到预期。</w:t>
      </w:r>
    </w:p>
    <w:p w14:paraId="67AB1B7E">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第四个是市场的接受度的风险，很多新产品的客户接受度很低，客户习惯了传统模式，不愿尝试新的模式，导致产品难以推广，最终造成策划失败。比如，智联科技最初就遭遇了这类问题：很多客户习惯传统维护模式，不愿接受新的预测性维护模式，认为该模式不可靠，这使得市场推广遭遇巨大阻力。后来，企业通过试点案例才逐步赢得客户信任，解决了这一难题。</w:t>
      </w:r>
    </w:p>
    <w:p w14:paraId="7DBAEBAF">
      <w:pPr>
        <w:pStyle w:val="4"/>
        <w:widowControl/>
        <w:numPr>
          <w:ilvl w:val="0"/>
          <w:numId w:val="19"/>
        </w:numPr>
        <w:ind w:left="0" w:leftChars="0" w:firstLine="0" w:firstLineChars="0"/>
        <w:outlineLvl w:val="0"/>
        <w:rPr>
          <w:rFonts w:hint="eastAsia" w:ascii="SimHei" w:hAnsi="SimHei" w:eastAsia="SimHei" w:cs="SimHei"/>
          <w:b w:val="0"/>
          <w:bdr w:val="none" w:sz="0" w:space="0"/>
        </w:rPr>
      </w:pPr>
      <w:bookmarkStart w:id="42" w:name="_Toc9351"/>
      <w:r>
        <w:t>科技服务型企业商务策划风险的评估方法与流程</w:t>
      </w:r>
      <w:bookmarkEnd w:id="42"/>
      <w:r>
        <w:t xml:space="preserve">  </w:t>
      </w:r>
    </w:p>
    <w:p w14:paraId="3A9C0CE4">
      <w:pPr>
        <w:pStyle w:val="5"/>
        <w:widowControl/>
        <w:numPr>
          <w:ilvl w:val="0"/>
          <w:numId w:val="21"/>
        </w:numPr>
        <w:ind w:left="0" w:leftChars="0" w:firstLine="0" w:firstLineChars="0"/>
        <w:outlineLvl w:val="1"/>
        <w:rPr>
          <w:rFonts w:hint="eastAsia" w:ascii="SimHei" w:hAnsi="SimHei" w:eastAsia="SimHei" w:cs="SimHei"/>
          <w:b w:val="0"/>
          <w:bdr w:val="none" w:sz="0" w:space="0"/>
        </w:rPr>
      </w:pPr>
      <w:bookmarkStart w:id="43" w:name="_Toc12099"/>
      <w:r>
        <w:t>风险评估的原则与框架</w:t>
      </w:r>
      <w:bookmarkEnd w:id="43"/>
      <w:r>
        <w:t xml:space="preserve">  </w:t>
      </w:r>
    </w:p>
    <w:p w14:paraId="66144433">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科技服务型企业商务策划的风险评估需遵循系统性、动态性、针对性与可操作性四大原则。系统性原则要求从技术、市场、资源、政策等多维度全面覆盖风险点，避免局部视角导致的遗漏；动态性原则强调评估需随策划进程、技术迭代与市场变化实时更新，确保与实际情况同步；针对性原则需结合科技服务企业技术依赖度高、市场周期短的特性，聚焦核心业务环节的风险；可操作性原则则要求评估方法与工具适配企业现有资源与能力，便于落地执行。  </w:t>
      </w:r>
    </w:p>
    <w:p w14:paraId="37547547">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风险评估的核心框架包含五个关键环节：目标设定（明确评估对象、范围及期望达成的风险管理目标）、风险识别（梳理策划全流程的潜在风险点）、风险分析（量化风险发生概率与影响程度）、风险评价（按优先级排序风险）、结果输出（形成结构化风险评估报告）。该框架为企业提供了标准化的评估路径，确保风险评估工作有序、高效开展。  </w:t>
      </w:r>
    </w:p>
    <w:p w14:paraId="358DEB75">
      <w:pPr>
        <w:pStyle w:val="5"/>
        <w:widowControl/>
        <w:numPr>
          <w:ilvl w:val="0"/>
          <w:numId w:val="21"/>
        </w:numPr>
        <w:ind w:left="0" w:leftChars="0" w:firstLine="0" w:firstLineChars="0"/>
        <w:outlineLvl w:val="1"/>
        <w:rPr>
          <w:rFonts w:hint="eastAsia" w:ascii="SimHei" w:hAnsi="SimHei" w:eastAsia="SimHei" w:cs="SimHei"/>
          <w:b w:val="0"/>
          <w:bdr w:val="none" w:sz="0" w:space="0"/>
        </w:rPr>
      </w:pPr>
      <w:bookmarkStart w:id="44" w:name="_Toc16089"/>
      <w:r>
        <w:t>风险评估的具体方法</w:t>
      </w:r>
      <w:bookmarkEnd w:id="44"/>
      <w:r>
        <w:t xml:space="preserve">  </w:t>
      </w:r>
    </w:p>
    <w:p w14:paraId="35530BF6">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针对科技服务企业的特性，常用的风险评估方法包括以下几种：  </w:t>
      </w:r>
    </w:p>
    <w:p w14:paraId="5880C8FE">
      <w:pPr>
        <w:pStyle w:val="19"/>
        <w:widowControl/>
        <w:numPr>
          <w:ilvl w:val="0"/>
          <w:numId w:val="22"/>
        </w:numPr>
        <w:topLinePunct w:val="0"/>
        <w:ind w:left="0" w:leftChars="0" w:firstLine="480" w:firstLineChars="0"/>
        <w:rPr>
          <w:rFonts w:hint="eastAsia" w:ascii="SimSun" w:hAnsi="SimSun" w:eastAsia="SimSun" w:cs="SimSun"/>
          <w:b w:val="0"/>
          <w:sz w:val="24"/>
          <w:szCs w:val="24"/>
          <w:bdr w:val="none" w:sz="0" w:space="0"/>
        </w:rPr>
      </w:pPr>
      <w:r>
        <w:rPr>
          <w:rFonts w:ascii="Times New Roman" w:hAnsi="Times New Roman" w:eastAsia="SimSun" w:cs="Times New Roman"/>
          <w:b w:val="0"/>
          <w:sz w:val="24"/>
          <w:szCs w:val="24"/>
        </w:rPr>
        <w:t xml:space="preserve">德尔菲法：适用于技术成熟度、市场趋势等不确定性较强的风险评估。例如，某AI医疗影像诊断企业在策划新产品时，邀请15位医疗AI领域专家匿名参与三轮调研，就技术准确率、临床认可度等风险指标打分，最终共识显示：技术准确率风险发生概率为28%，但影响程度高达92%，需优先投入算法优化。  </w:t>
      </w:r>
    </w:p>
    <w:p w14:paraId="15F31357">
      <w:pPr>
        <w:pStyle w:val="19"/>
        <w:widowControl/>
        <w:numPr>
          <w:ilvl w:val="0"/>
          <w:numId w:val="22"/>
        </w:numPr>
        <w:topLinePunct w:val="0"/>
        <w:ind w:left="0" w:leftChars="0" w:firstLine="480" w:firstLineChars="0"/>
        <w:rPr>
          <w:rFonts w:hint="eastAsia" w:ascii="SimSun" w:hAnsi="SimSun" w:eastAsia="SimSun" w:cs="SimSun"/>
          <w:b w:val="0"/>
          <w:sz w:val="24"/>
          <w:szCs w:val="24"/>
          <w:bdr w:val="none" w:sz="0" w:space="0"/>
        </w:rPr>
      </w:pPr>
      <w:r>
        <w:rPr>
          <w:rFonts w:ascii="Times New Roman" w:hAnsi="Times New Roman" w:eastAsia="SimSun" w:cs="Times New Roman"/>
          <w:b w:val="0"/>
          <w:sz w:val="24"/>
          <w:szCs w:val="24"/>
        </w:rPr>
        <w:t xml:space="preserve">风险概率-影响矩阵：将风险按“发生概率”与“影响程度”划分为四个象限（高概率高影响、高概率低影响、低概率高影响、低概率低影响）。某云计算服务企业评估数据安全风险时，发现“数据传输加密漏洞”属于高概率高影响象限，随即升级加密协议并开展全员安全培训。  </w:t>
      </w:r>
    </w:p>
    <w:p w14:paraId="1BDF4A5A">
      <w:pPr>
        <w:pStyle w:val="19"/>
        <w:widowControl/>
        <w:numPr>
          <w:ilvl w:val="0"/>
          <w:numId w:val="22"/>
        </w:numPr>
        <w:topLinePunct w:val="0"/>
        <w:ind w:left="0" w:leftChars="0" w:firstLine="480" w:firstLineChars="0"/>
        <w:rPr>
          <w:rFonts w:hint="eastAsia" w:ascii="SimSun" w:hAnsi="SimSun" w:eastAsia="SimSun" w:cs="SimSun"/>
          <w:b w:val="0"/>
          <w:sz w:val="24"/>
          <w:szCs w:val="24"/>
          <w:bdr w:val="none" w:sz="0" w:space="0"/>
        </w:rPr>
      </w:pPr>
      <w:r>
        <w:rPr>
          <w:rFonts w:ascii="Times New Roman" w:hAnsi="Times New Roman" w:eastAsia="SimSun" w:cs="Times New Roman"/>
          <w:b w:val="0"/>
          <w:sz w:val="24"/>
          <w:szCs w:val="24"/>
        </w:rPr>
        <w:t xml:space="preserve">敏感性分析：用于评估关键变量变化对策划结果的影响。例如，某SaaS企业策划定价策略时，通过敏感性分析发现客户付费意愿每下降3%，项目收益将减少10%，因此调整定价梯度，推出基础版与定制版覆盖不同客户群体。  </w:t>
      </w:r>
    </w:p>
    <w:p w14:paraId="2736F4A5">
      <w:pPr>
        <w:pStyle w:val="5"/>
        <w:widowControl/>
        <w:numPr>
          <w:ilvl w:val="0"/>
          <w:numId w:val="21"/>
        </w:numPr>
        <w:ind w:left="0" w:leftChars="0" w:firstLine="0" w:firstLineChars="0"/>
        <w:outlineLvl w:val="1"/>
        <w:rPr>
          <w:rFonts w:hint="eastAsia" w:ascii="SimHei" w:hAnsi="SimHei" w:eastAsia="SimHei" w:cs="SimHei"/>
          <w:b w:val="0"/>
          <w:bdr w:val="none" w:sz="0" w:space="0"/>
        </w:rPr>
      </w:pPr>
      <w:bookmarkStart w:id="45" w:name="_Toc23143"/>
      <w:r>
        <w:t>风险评估的实施流程</w:t>
      </w:r>
      <w:bookmarkEnd w:id="45"/>
      <w:r>
        <w:t xml:space="preserve">  </w:t>
      </w:r>
    </w:p>
    <w:p w14:paraId="3AD48229">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科技服务企业商务策划风险评估的实施流程可分为以下步骤：  </w:t>
      </w:r>
    </w:p>
    <w:p w14:paraId="1EDF2F56">
      <w:pPr>
        <w:pStyle w:val="19"/>
        <w:widowControl/>
        <w:numPr>
          <w:ilvl w:val="0"/>
          <w:numId w:val="23"/>
        </w:numPr>
        <w:topLinePunct w:val="0"/>
        <w:ind w:left="0" w:leftChars="0" w:firstLine="480" w:firstLineChars="0"/>
        <w:rPr>
          <w:rFonts w:hint="eastAsia" w:ascii="SimSun" w:hAnsi="SimSun" w:eastAsia="SimSun" w:cs="SimSun"/>
          <w:b w:val="0"/>
          <w:sz w:val="24"/>
          <w:szCs w:val="24"/>
          <w:bdr w:val="none" w:sz="0" w:space="0"/>
        </w:rPr>
      </w:pPr>
      <w:r>
        <w:rPr>
          <w:rFonts w:ascii="Times New Roman" w:hAnsi="Times New Roman" w:eastAsia="SimSun" w:cs="Times New Roman"/>
          <w:b w:val="0"/>
          <w:sz w:val="24"/>
          <w:szCs w:val="24"/>
        </w:rPr>
        <w:t xml:space="preserve">明确评估范围与目标。例如，针对“智慧园区解决方案”策划项目，评估范围涵盖技术研发、市场推广、客户对接等环节，目标是识别潜在风险并确定应对优先级。  </w:t>
      </w:r>
    </w:p>
    <w:p w14:paraId="5CF8F555">
      <w:pPr>
        <w:pStyle w:val="19"/>
        <w:widowControl/>
        <w:numPr>
          <w:ilvl w:val="0"/>
          <w:numId w:val="23"/>
        </w:numPr>
        <w:topLinePunct w:val="0"/>
        <w:ind w:left="0" w:leftChars="0" w:firstLine="480" w:firstLineChars="0"/>
        <w:rPr>
          <w:rFonts w:hint="eastAsia" w:ascii="SimSun" w:hAnsi="SimSun" w:eastAsia="SimSun" w:cs="SimSun"/>
          <w:b w:val="0"/>
          <w:sz w:val="24"/>
          <w:szCs w:val="24"/>
          <w:bdr w:val="none" w:sz="0" w:space="0"/>
        </w:rPr>
      </w:pPr>
      <w:r>
        <w:rPr>
          <w:rFonts w:ascii="Times New Roman" w:hAnsi="Times New Roman" w:eastAsia="SimSun" w:cs="Times New Roman"/>
          <w:b w:val="0"/>
          <w:sz w:val="24"/>
          <w:szCs w:val="24"/>
        </w:rPr>
        <w:t xml:space="preserve">收集相关数据。包括行业报告、历史项目案例、技术参数、客户调研数据等。例如，某物联网服务企业收集近五年同类型项目的技术故障数据与市场反馈，为风险评估提供数据支撑。  </w:t>
      </w:r>
    </w:p>
    <w:p w14:paraId="4DC6CEC8">
      <w:pPr>
        <w:pStyle w:val="19"/>
        <w:widowControl/>
        <w:numPr>
          <w:ilvl w:val="0"/>
          <w:numId w:val="23"/>
        </w:numPr>
        <w:topLinePunct w:val="0"/>
        <w:ind w:left="0" w:leftChars="0" w:firstLine="480" w:firstLineChars="0"/>
        <w:rPr>
          <w:rFonts w:hint="eastAsia" w:ascii="SimSun" w:hAnsi="SimSun" w:eastAsia="SimSun" w:cs="SimSun"/>
          <w:b w:val="0"/>
          <w:sz w:val="24"/>
          <w:szCs w:val="24"/>
          <w:bdr w:val="none" w:sz="0" w:space="0"/>
        </w:rPr>
      </w:pPr>
      <w:r>
        <w:rPr>
          <w:rFonts w:ascii="Times New Roman" w:hAnsi="Times New Roman" w:eastAsia="SimSun" w:cs="Times New Roman"/>
          <w:b w:val="0"/>
          <w:sz w:val="24"/>
          <w:szCs w:val="24"/>
        </w:rPr>
        <w:t xml:space="preserve">开展风险识别。采用头脑风暴法组织跨部门团队（技术、市场、法务）列出所有潜在风险点，如技术兼容性问题、客户需求变更、政策法规调整等。  </w:t>
      </w:r>
    </w:p>
    <w:p w14:paraId="17846933">
      <w:pPr>
        <w:pStyle w:val="19"/>
        <w:widowControl/>
        <w:numPr>
          <w:ilvl w:val="0"/>
          <w:numId w:val="23"/>
        </w:numPr>
        <w:topLinePunct w:val="0"/>
        <w:ind w:left="0" w:leftChars="0" w:firstLine="480" w:firstLineChars="0"/>
        <w:rPr>
          <w:rFonts w:hint="eastAsia" w:ascii="SimSun" w:hAnsi="SimSun" w:eastAsia="SimSun" w:cs="SimSun"/>
          <w:b w:val="0"/>
          <w:sz w:val="24"/>
          <w:szCs w:val="24"/>
          <w:bdr w:val="none" w:sz="0" w:space="0"/>
        </w:rPr>
      </w:pPr>
      <w:r>
        <w:rPr>
          <w:rFonts w:ascii="Times New Roman" w:hAnsi="Times New Roman" w:eastAsia="SimSun" w:cs="Times New Roman"/>
          <w:b w:val="0"/>
          <w:sz w:val="24"/>
          <w:szCs w:val="24"/>
        </w:rPr>
        <w:t xml:space="preserve">进行风险分析。运用德尔菲法、概率-影响矩阵等工具量化风险指标。例如，某大数据分析企业通过概率计算得出“算法模型失效风险”发生概率为22%，影响程度为85%。  </w:t>
      </w:r>
    </w:p>
    <w:p w14:paraId="2EB83576">
      <w:pPr>
        <w:pStyle w:val="19"/>
        <w:widowControl/>
        <w:numPr>
          <w:ilvl w:val="0"/>
          <w:numId w:val="23"/>
        </w:numPr>
        <w:topLinePunct w:val="0"/>
        <w:ind w:left="0" w:leftChars="0" w:firstLine="480" w:firstLineChars="0"/>
        <w:rPr>
          <w:rFonts w:hint="eastAsia" w:ascii="SimSun" w:hAnsi="SimSun" w:eastAsia="SimSun" w:cs="SimSun"/>
          <w:b w:val="0"/>
          <w:sz w:val="24"/>
          <w:szCs w:val="24"/>
          <w:bdr w:val="none" w:sz="0" w:space="0"/>
        </w:rPr>
      </w:pPr>
      <w:r>
        <w:rPr>
          <w:rFonts w:ascii="Times New Roman" w:hAnsi="Times New Roman" w:eastAsia="SimSun" w:cs="Times New Roman"/>
          <w:b w:val="0"/>
          <w:sz w:val="24"/>
          <w:szCs w:val="24"/>
        </w:rPr>
        <w:t xml:space="preserve">风险优先级排序。根据分析结果，将风险分为“高优先级（需立即应对）”“中优先级（需持续监控）”“低优先级（可暂时忽略）”三类。  </w:t>
      </w:r>
    </w:p>
    <w:p w14:paraId="0B23FA89">
      <w:pPr>
        <w:pStyle w:val="19"/>
        <w:widowControl/>
        <w:numPr>
          <w:ilvl w:val="0"/>
          <w:numId w:val="23"/>
        </w:numPr>
        <w:topLinePunct w:val="0"/>
        <w:ind w:left="0" w:leftChars="0" w:firstLine="480" w:firstLineChars="0"/>
        <w:rPr>
          <w:rFonts w:hint="eastAsia" w:ascii="SimSun" w:hAnsi="SimSun" w:eastAsia="SimSun" w:cs="SimSun"/>
          <w:b w:val="0"/>
          <w:sz w:val="24"/>
          <w:szCs w:val="24"/>
          <w:bdr w:val="none" w:sz="0" w:space="0"/>
        </w:rPr>
      </w:pPr>
      <w:r>
        <w:rPr>
          <w:rFonts w:ascii="Times New Roman" w:hAnsi="Times New Roman" w:eastAsia="SimSun" w:cs="Times New Roman"/>
          <w:b w:val="0"/>
          <w:sz w:val="24"/>
          <w:szCs w:val="24"/>
        </w:rPr>
        <w:t xml:space="preserve">输出评估报告。报告需包含风险清单、优先级排序、应对建议等内容，为后续风险应对提供决策依据。  </w:t>
      </w:r>
    </w:p>
    <w:p w14:paraId="57CC3EB2">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通过规范的风险评估流程，科技服务企业能精准把握策划中的风险点，为制定有效的风险管理策略奠定坚实基础。</w:t>
      </w:r>
    </w:p>
    <w:p w14:paraId="376BD924">
      <w:pPr>
        <w:pStyle w:val="4"/>
        <w:widowControl/>
        <w:numPr>
          <w:ilvl w:val="0"/>
          <w:numId w:val="19"/>
        </w:numPr>
        <w:ind w:left="0" w:leftChars="0" w:firstLine="0" w:firstLineChars="0"/>
        <w:outlineLvl w:val="0"/>
        <w:rPr>
          <w:rFonts w:hint="eastAsia" w:ascii="SimHei" w:hAnsi="SimHei" w:eastAsia="SimHei" w:cs="SimHei"/>
          <w:b w:val="0"/>
          <w:bdr w:val="none" w:sz="0" w:space="0"/>
        </w:rPr>
      </w:pPr>
      <w:bookmarkStart w:id="46" w:name="_Toc23485"/>
      <w:r>
        <w:t>科技服务型企业商务策划的风险管理策略</w:t>
      </w:r>
      <w:bookmarkEnd w:id="46"/>
      <w:r>
        <w:t xml:space="preserve">  </w:t>
      </w:r>
    </w:p>
    <w:p w14:paraId="727F5B38">
      <w:pPr>
        <w:pStyle w:val="5"/>
        <w:widowControl/>
        <w:numPr>
          <w:ilvl w:val="0"/>
          <w:numId w:val="24"/>
        </w:numPr>
        <w:ind w:left="0" w:leftChars="0" w:firstLine="0" w:firstLineChars="0"/>
        <w:outlineLvl w:val="1"/>
        <w:rPr>
          <w:rFonts w:hint="eastAsia" w:ascii="SimHei" w:hAnsi="SimHei" w:eastAsia="SimHei" w:cs="SimHei"/>
          <w:b w:val="0"/>
          <w:bdr w:val="none" w:sz="0" w:space="0"/>
        </w:rPr>
      </w:pPr>
      <w:bookmarkStart w:id="47" w:name="_Toc747"/>
      <w:r>
        <w:t>风险规避策略</w:t>
      </w:r>
      <w:bookmarkEnd w:id="47"/>
      <w:r>
        <w:t xml:space="preserve">  </w:t>
      </w:r>
    </w:p>
    <w:p w14:paraId="4D477638">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风险规避是通过主动调整或放弃高风险策划方案，从源头上避免风险发生的策略。对于科技服务企业，需聚焦技术与市场领域的核心风险点：例如，某AI教育企业原计划采用未成熟的多模态交互技术开发产品，经风险评估发现技术成熟度不足且研发周期不可控，遂放弃该路线，转而选用已验证的语音识别技术，有效规避了技术失败风险。此外，针对市场需求模糊的项目，企业可通过小规模试点验证需求真实性，若试点反馈不佳则终止项目，避免大规模资源浪费。  </w:t>
      </w:r>
    </w:p>
    <w:p w14:paraId="2056427D">
      <w:pPr>
        <w:pStyle w:val="5"/>
        <w:widowControl/>
        <w:numPr>
          <w:ilvl w:val="0"/>
          <w:numId w:val="24"/>
        </w:numPr>
        <w:ind w:left="0" w:leftChars="0" w:firstLine="0" w:firstLineChars="0"/>
        <w:outlineLvl w:val="1"/>
        <w:rPr>
          <w:rFonts w:hint="eastAsia" w:ascii="SimHei" w:hAnsi="SimHei" w:eastAsia="SimHei" w:cs="SimHei"/>
          <w:b w:val="0"/>
          <w:bdr w:val="none" w:sz="0" w:space="0"/>
        </w:rPr>
      </w:pPr>
      <w:bookmarkStart w:id="48" w:name="_Toc22081"/>
      <w:r>
        <w:t>风险转移策略</w:t>
      </w:r>
      <w:bookmarkEnd w:id="48"/>
      <w:r>
        <w:t xml:space="preserve">  </w:t>
      </w:r>
    </w:p>
    <w:p w14:paraId="6B9D0168">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风险转移是将风险责任部分或全部转嫁至第三方，降低自身损失的策略。常见方式包括保险、合同条款与知识产权授权：例如，某物联网解决方案企业承接智慧园区项目时，与设备供应商签订质量担保协议，约定设备故障导致的延期损失由供应商承担；同时购买项目履约保险，覆盖技术集成失败引发的客户索赔。对于知识产权风险，企业可通过与专利持有方签订许可协议，合法使用技术以转移侵权风险。  </w:t>
      </w:r>
    </w:p>
    <w:p w14:paraId="62B8A133">
      <w:pPr>
        <w:pStyle w:val="5"/>
        <w:widowControl/>
        <w:numPr>
          <w:ilvl w:val="0"/>
          <w:numId w:val="24"/>
        </w:numPr>
        <w:ind w:left="0" w:leftChars="0" w:firstLine="0" w:firstLineChars="0"/>
        <w:outlineLvl w:val="1"/>
        <w:rPr>
          <w:rFonts w:hint="eastAsia" w:ascii="SimHei" w:hAnsi="SimHei" w:eastAsia="SimHei" w:cs="SimHei"/>
          <w:b w:val="0"/>
          <w:bdr w:val="none" w:sz="0" w:space="0"/>
        </w:rPr>
      </w:pPr>
      <w:bookmarkStart w:id="49" w:name="_Toc25165"/>
      <w:r>
        <w:t>风险减轻策略</w:t>
      </w:r>
      <w:bookmarkEnd w:id="49"/>
      <w:r>
        <w:t xml:space="preserve">  </w:t>
      </w:r>
    </w:p>
    <w:p w14:paraId="10845508">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风险减轻旨在降低风险发生概率或减少影响程度。技术层面，企业可建立多轮验证机制：如某区块链服务企业引入第三方技术审计，提前修复系统漏洞；市场层面，持续用户调研动态调整策略：如某智能办公软件企业每季度收集反馈优化功能，提升市场接受度。此外，多元化业务布局可分散竞争风险，例如某云计算企业同时开展公有云、私有云业务，降低单一领域竞争加剧的业绩波动。  </w:t>
      </w:r>
    </w:p>
    <w:p w14:paraId="7B32AA2B">
      <w:pPr>
        <w:pStyle w:val="5"/>
        <w:widowControl/>
        <w:numPr>
          <w:ilvl w:val="0"/>
          <w:numId w:val="24"/>
        </w:numPr>
        <w:ind w:left="0" w:leftChars="0" w:firstLine="0" w:firstLineChars="0"/>
        <w:outlineLvl w:val="1"/>
        <w:rPr>
          <w:rFonts w:hint="eastAsia" w:ascii="SimHei" w:hAnsi="SimHei" w:eastAsia="SimHei" w:cs="SimHei"/>
          <w:b w:val="0"/>
          <w:bdr w:val="none" w:sz="0" w:space="0"/>
        </w:rPr>
      </w:pPr>
      <w:bookmarkStart w:id="50" w:name="_Toc18926"/>
      <w:r>
        <w:t>风险接受策略</w:t>
      </w:r>
      <w:bookmarkEnd w:id="50"/>
      <w:r>
        <w:t xml:space="preserve">  </w:t>
      </w:r>
    </w:p>
    <w:p w14:paraId="0FBCC3E8">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风险接受适用于低概率、低影响且应对成本高于损失的风险。科技服务企业可将此类风险纳入日常管理：例如，某AI客服企业评估发现“个别用户操作失误投诉”风险概率不足1%，处理成本低，便通过优化用户指南降低影响；对于技术迭代中的微小落后风险，若不影响核心竞争力，企业可暂时接受，集中资源于关键技术突破。  </w:t>
      </w:r>
    </w:p>
    <w:p w14:paraId="5F755ECF">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通过上述分层策略，科技服务企业可针对不同类型风险制定精准应对方案，提升商务策划的抗风险能力，保障项目顺利推进与企业持续发展。</w:t>
      </w:r>
    </w:p>
    <w:p w14:paraId="42E6A9A7">
      <w:pPr>
        <w:pStyle w:val="4"/>
        <w:widowControl/>
        <w:numPr>
          <w:ilvl w:val="0"/>
          <w:numId w:val="19"/>
        </w:numPr>
        <w:ind w:left="0" w:leftChars="0" w:firstLine="0" w:firstLineChars="0"/>
        <w:outlineLvl w:val="0"/>
        <w:rPr>
          <w:rFonts w:hint="eastAsia" w:ascii="SimHei" w:hAnsi="SimHei" w:eastAsia="SimHei" w:cs="SimHei"/>
          <w:b w:val="0"/>
          <w:bdr w:val="none" w:sz="0" w:space="0"/>
        </w:rPr>
      </w:pPr>
      <w:bookmarkStart w:id="51" w:name="_Toc22000"/>
      <w:r>
        <w:t>科技服务型企业商务策划风险的监控与持续优化</w:t>
      </w:r>
      <w:bookmarkEnd w:id="51"/>
      <w:r>
        <w:t xml:space="preserve">  </w:t>
      </w:r>
    </w:p>
    <w:p w14:paraId="7414550F">
      <w:pPr>
        <w:pStyle w:val="5"/>
        <w:widowControl/>
        <w:numPr>
          <w:ilvl w:val="0"/>
          <w:numId w:val="25"/>
        </w:numPr>
        <w:ind w:left="0" w:leftChars="0" w:firstLine="0" w:firstLineChars="0"/>
        <w:outlineLvl w:val="1"/>
        <w:rPr>
          <w:rFonts w:hint="eastAsia" w:ascii="SimHei" w:hAnsi="SimHei" w:eastAsia="SimHei" w:cs="SimHei"/>
          <w:b w:val="0"/>
          <w:bdr w:val="none" w:sz="0" w:space="0"/>
        </w:rPr>
      </w:pPr>
      <w:bookmarkStart w:id="52" w:name="_Toc30380"/>
      <w:r>
        <w:t>风险监控的机制与工具</w:t>
      </w:r>
      <w:bookmarkEnd w:id="52"/>
      <w:r>
        <w:t xml:space="preserve">  </w:t>
      </w:r>
    </w:p>
    <w:p w14:paraId="49A486A9">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科技服务型企业需建立动态化风险监控机制，实现对商务策划全生命周期的风险跟踪。核心机制包括：一是关键指标实时跟踪，针对技术、市场、资源等维度设定量化监控指标，如技术风险维度的“专利侵权预警次数”“技术兼容性问题发生率”，市场风险维度的“客户需求变更频率”“竞品市场份额月增长率”等；二是跨部门联动响应，由技术、市场、法务等部门组成风险监控小组，定期（如每周）召开风险碰头会，同步风险动态并快速决策。常用工具包括风险仪表盘系统，通过可视化界面展示各风险点的实时状态（如高/中/低风险等级、应对进度）；知识产权智能监控工具，依托大数据技术实时扫描行业专利动态，及时预警潜在侵权风险；客户支付能力监控模型，结合企业财务数据与行业信用报告，对客户履约能力进行动态评估。  </w:t>
      </w:r>
    </w:p>
    <w:p w14:paraId="3B78BD94">
      <w:pPr>
        <w:pStyle w:val="5"/>
        <w:widowControl/>
        <w:numPr>
          <w:ilvl w:val="0"/>
          <w:numId w:val="25"/>
        </w:numPr>
        <w:ind w:left="0" w:leftChars="0" w:firstLine="0" w:firstLineChars="0"/>
        <w:outlineLvl w:val="1"/>
        <w:rPr>
          <w:rFonts w:hint="eastAsia" w:ascii="SimHei" w:hAnsi="SimHei" w:eastAsia="SimHei" w:cs="SimHei"/>
          <w:b w:val="0"/>
          <w:bdr w:val="none" w:sz="0" w:space="0"/>
        </w:rPr>
      </w:pPr>
      <w:bookmarkStart w:id="53" w:name="_Toc24033"/>
      <w:r>
        <w:t>风险持续优化的路径</w:t>
      </w:r>
      <w:bookmarkEnd w:id="53"/>
      <w:r>
        <w:t xml:space="preserve">  </w:t>
      </w:r>
    </w:p>
    <w:p w14:paraId="0DB7132A">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风险优化需贯穿商务策划的全过程，主要路径包括：一是定期复盘迭代，每季度开展风险应对效果评估，分析策略执行中的不足，如某SaaS企业发现“风险减轻策略中用户调研频率不足”，遂将季度调研调整为月度，提升对需求变化的敏感度；二是动态调整策略，根据技术迭代与市场环境变化更新风险管理方案，例如在AI大模型快速发展的背景下，某智能客服企业将技术风险评估周期从半年缩短至3个月，确保及时应对模型过时风险；三是外部资源赋能，与行业协会、咨询机构合作，获取最新风险趋势报告，引入第三方技术审计团队定期评估系统漏洞，提升风险应对的专业性。  </w:t>
      </w:r>
    </w:p>
    <w:p w14:paraId="4F7AB85A">
      <w:pPr>
        <w:pStyle w:val="5"/>
        <w:widowControl/>
        <w:numPr>
          <w:ilvl w:val="0"/>
          <w:numId w:val="25"/>
        </w:numPr>
        <w:ind w:left="0" w:leftChars="0" w:firstLine="0" w:firstLineChars="0"/>
        <w:outlineLvl w:val="1"/>
        <w:rPr>
          <w:rFonts w:hint="eastAsia" w:ascii="SimHei" w:hAnsi="SimHei" w:eastAsia="SimHei" w:cs="SimHei"/>
          <w:b w:val="0"/>
          <w:bdr w:val="none" w:sz="0" w:space="0"/>
        </w:rPr>
      </w:pPr>
      <w:bookmarkStart w:id="54" w:name="_Toc17652"/>
      <w:r>
        <w:t>实践案例分析</w:t>
      </w:r>
      <w:bookmarkEnd w:id="54"/>
      <w:r>
        <w:t xml:space="preserve">  </w:t>
      </w:r>
    </w:p>
    <w:p w14:paraId="28BA4C94">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某工业互联网解决方案企业在智慧工厂项目策划中，构建了完善的风险监控与优化体系：通过风险仪表盘实时监控设备集成兼容性、客户支付能力等12项核心指标，当发现某客户的支付能力评分下降至预警线时，迅速调整付款方案（由一次性付款改为3期分期），避免了约200万元的坏账损失；每季度组织跨部门复盘，针对技术集成风险中“供应商技术文档缺失”的问题，优化了供应商准入标准，要求供应商提供完整的技术接口文档并通过兼容性测试，使项目集成失败率从15%降至5%。该案例证明，有效的风险监控与持续优化能显著提升商务策划的成功率，为企业创造稳定的业务价值。</w:t>
      </w:r>
    </w:p>
    <w:p w14:paraId="5561A96E">
      <w:pPr>
        <w:pStyle w:val="4"/>
        <w:widowControl/>
        <w:numPr>
          <w:ilvl w:val="0"/>
          <w:numId w:val="19"/>
        </w:numPr>
        <w:ind w:left="0" w:leftChars="0" w:firstLine="0" w:firstLineChars="0"/>
        <w:outlineLvl w:val="0"/>
        <w:rPr>
          <w:rFonts w:hint="eastAsia" w:ascii="SimHei" w:hAnsi="SimHei" w:eastAsia="SimHei" w:cs="SimHei"/>
          <w:b w:val="0"/>
          <w:bdr w:val="none" w:sz="0" w:space="0"/>
        </w:rPr>
      </w:pPr>
      <w:bookmarkStart w:id="55" w:name="_Toc3793"/>
      <w:r>
        <w:t>本章总结与未来展望</w:t>
      </w:r>
      <w:bookmarkEnd w:id="55"/>
      <w:r>
        <w:t xml:space="preserve">  </w:t>
      </w:r>
    </w:p>
    <w:p w14:paraId="61FB9825">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本章围绕科技服务型企业商务策划的风险评估与管理展开了系统性探讨：从风险的内涵与类型切入，清晰界定了技术、市场、竞争、客户支付能力、市场接受度等核心风险的表现形式；通过构建“原则框架-具体方法-实施流程”的风险评估体系，为企业提供了可落地的风险识别与量化工具；进而提出分层化的风险管理策略，针对不同风险特性匹配规避、转移、减轻、接受等应对方案；最后强调动态监控与持续优化的重要性，通过机制工具与实践案例验证了体系的有效性。  </w:t>
      </w:r>
    </w:p>
    <w:p w14:paraId="30DDFCD3">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随着数字经济与技术创新的加速迭代，科技服务型企业商务策划面临的风险将更趋复杂多元——如AI大模型的伦理合规风险、跨行业融合的生态协同风险、全球供应链波动引发的资源风险等。未来，企业需进一步强化风险预判能力，利用生成式AI、大数据等技术提升风险评估的智能化水平；加强产业生态内的协作，构建风险联防机制；同时注重复合型风险管理人才的培养，打造兼具技术洞察、市场敏锐度与风险管控能力的团队，以更好应对不确定性挑战，推动商务策划的可持续成功。</w:t>
      </w:r>
    </w:p>
    <w:p w14:paraId="2B58155B">
      <w:pPr>
        <w:rPr>
          <w:rFonts w:hint="eastAsia" w:cs="Times New Roman"/>
          <w:b w:val="0"/>
          <w:sz w:val="24"/>
          <w:szCs w:val="24"/>
          <w:lang w:val="en-US" w:eastAsia="zh-CN"/>
        </w:rPr>
      </w:pPr>
      <w:r>
        <w:rPr>
          <w:rFonts w:hint="eastAsia" w:cs="Times New Roman"/>
          <w:b w:val="0"/>
          <w:sz w:val="24"/>
          <w:szCs w:val="24"/>
          <w:lang w:val="en-US" w:eastAsia="zh-CN"/>
        </w:rPr>
        <w:br w:type="page"/>
      </w:r>
    </w:p>
    <w:p w14:paraId="2F9C67AC">
      <w:pPr>
        <w:pStyle w:val="3"/>
        <w:numPr>
          <w:ilvl w:val="0"/>
          <w:numId w:val="0"/>
        </w:numPr>
        <w:ind w:left="440" w:leftChars="0" w:firstLine="0" w:firstLineChars="0"/>
        <w:rPr>
          <w:rFonts w:hint="eastAsia" w:ascii="SimHei" w:hAnsi="SimHei" w:eastAsia="SimHei" w:cs="SimHei"/>
          <w:b w:val="0"/>
          <w:bdr w:val="none" w:sz="0" w:space="0"/>
        </w:rPr>
      </w:pPr>
      <w:bookmarkStart w:id="56" w:name="_Toc29801"/>
      <w:r>
        <w:rPr>
          <w:rFonts w:hint="eastAsia" w:ascii="SimHei" w:hAnsi="SimHei" w:eastAsia="SimHei" w:cs="SimHei"/>
          <w:b w:val="0"/>
          <w:color w:val="000000"/>
          <w:kern w:val="44"/>
          <w:sz w:val="32"/>
          <w:szCs w:val="44"/>
          <w:bdr w:val="none" w:sz="0" w:space="0"/>
          <w:lang w:bidi="ar-SA"/>
        </w:rPr>
        <w:t>第六章</w:t>
      </w:r>
      <w:r>
        <w:t>科技服务型企业商务策划的未来趋势与展望</w:t>
      </w:r>
      <w:bookmarkEnd w:id="56"/>
    </w:p>
    <w:p w14:paraId="04C2A0C3">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本章将展望科技服务型企业商务策划的未来趋势，帮助学习者了解未来的发展方向，提前布局，适应未来的市场环境，实现企业的长期发展。</w:t>
      </w:r>
    </w:p>
    <w:p w14:paraId="6337658D">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理论层面，本章将系统阐述数字技术、全球化、新质生产力、绿色低碳、需求升级等未来的趋势。其中，新质生产力是创新起主导作用，摆脱传统经济增长方式、生产力发展路径，具有高科技、高效能、高质量特征，符合新发展理念的先进生产力质态，其与数字化绿色化转型深度绑定，数字化作为新一轮科技革命和产业变革的核心动力，既可为新质生产力发展提供新动力和新工具，也能通过创新应用提升能源利用效率、推动产业结构绿色低碳转型，绿色低碳则是新质生产力的鲜明底色之一。</w:t>
      </w:r>
    </w:p>
    <w:p w14:paraId="4DD8B9FB">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本章将结合这些权威理论界定与内在关联逻辑，解释上述趋势的理论基础，同时结合良瓷科技通过数智化转型实现石膏废品排放从年4000吨降至个位数、生产效率提升60倍等实践案例，阐述它们对商务策划的影响，帮助学习者理解未来的环境变化，建立前瞻性的认知。</w:t>
      </w:r>
    </w:p>
    <w:p w14:paraId="453A67BC">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方法体系上，本章将介绍在未来的趋势下，商务策划的新方法，比如数字技术赋能的策划方法，全球化的策划方法，绿色策划的方法等，帮助学习者掌握如何适应未来的趋势，调整策划的方法，制定出符合未来趋势的策划方案。其中数字技术赋能的策划方法可借助人工智能、大数据、物联网等技术实现，比如通过数据驱动洞悉市场趋势，利用智能技术实现智能化决策、优化运营效率，还能通过跨界融合开拓市场空间；据市场研究显示，85%的企业高管认为数字化转型将改变业务的未来方向，不过仍有大约60%的企业在实施过程中面临各种障碍，这也凸显了掌握数字技术赋能策划方法的必要性。</w:t>
      </w:r>
    </w:p>
    <w:p w14:paraId="190FB36D">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实践场景方面，本章将结合最新的实践案例，展现这些趋势在实际的企业实践中的应用，帮助学习者理解未来策划的特点，掌握未来策划的能力，完成整个课程的学习，为学习者未来的工作提供指导。</w:t>
      </w:r>
    </w:p>
    <w:p w14:paraId="5C2E4575">
      <w:pPr>
        <w:pStyle w:val="4"/>
        <w:widowControl/>
        <w:numPr>
          <w:ilvl w:val="0"/>
          <w:numId w:val="26"/>
        </w:numPr>
        <w:ind w:left="0" w:leftChars="0" w:firstLine="0" w:firstLineChars="0"/>
        <w:outlineLvl w:val="0"/>
        <w:rPr>
          <w:rFonts w:hint="eastAsia" w:ascii="SimHei" w:hAnsi="SimHei" w:eastAsia="SimHei" w:cs="SimHei"/>
          <w:b w:val="0"/>
          <w:bdr w:val="none" w:sz="0" w:space="0"/>
        </w:rPr>
      </w:pPr>
      <w:bookmarkStart w:id="57" w:name="_Toc30914"/>
      <w:r>
        <w:t>数字技术对商务策划的赋能</w:t>
      </w:r>
      <w:bookmarkEnd w:id="57"/>
    </w:p>
    <w:p w14:paraId="0C779D48">
      <w:pPr>
        <w:pStyle w:val="5"/>
        <w:widowControl/>
        <w:numPr>
          <w:ilvl w:val="0"/>
          <w:numId w:val="27"/>
        </w:numPr>
        <w:ind w:left="0" w:leftChars="0" w:firstLine="0" w:firstLineChars="0"/>
        <w:outlineLvl w:val="1"/>
        <w:rPr>
          <w:rFonts w:hint="eastAsia" w:ascii="SimHei" w:hAnsi="SimHei" w:eastAsia="SimHei" w:cs="SimHei"/>
          <w:b w:val="0"/>
          <w:bdr w:val="none" w:sz="0" w:space="0"/>
        </w:rPr>
      </w:pPr>
      <w:bookmarkStart w:id="58" w:name="_Toc4168"/>
      <w:r>
        <w:t>大数据在策划中的应用</w:t>
      </w:r>
      <w:bookmarkEnd w:id="58"/>
    </w:p>
    <w:p w14:paraId="40B656A7">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随着数字技术的发展，大数据已经成为商务策划的重要基础，在过去，商务策划的信息收集，主要是依靠人工的调研，信息的全面性与准确性都很有限，而大数据技术，则能够帮助企业收集海量的信息，包括客户的行为数据、市场的交易数据、技术的发展数据等，这些数据能够帮助企业更全面、更准确地了解市场与客户，从而制定出更准确的策划方案。对于科技服务企业而言，大数据的应用，能够帮助企业更好地了解客户的需求，更好地预测市场的趋势，从而提升策划的准确性与有效性。</w:t>
      </w:r>
    </w:p>
    <w:p w14:paraId="4EBFECE7">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比如，诸多科技服务企业借助大数据技术分析客户行为数据，精准把握客户偏好与需求，以此制定更贴合市场的产品与服务策划方案，进而提升客户满意度与企业业绩。同时，大数据还能够帮助企业进行预测，预测市场的趋势，预测客户的需求变化，从而帮助企业提前布局，抓住市场的机会。比如，阿里云在策划营销活动的时候，就通过大数据技术，分析客户的行为数据，了解客户的需求，从而制定出精准的营销方案。正如阿里云开发者社区所提到的，大数据分析能帮助企业挖掘客户偏好、市场趋势等有价值信息，以此开发有效营销方案，提升客户参与度与忠诚度。从行业整体来看，根据艾瑞咨询2025年Q1行业报告显示，采用智能数据整合系统的企业平均获客成本同比下降73%，转化率提升2.8倍，这也印证了阿里云这类借助大数据的营销方式，切实提升了营销的效率，降低了营销的成本，同时也能助力企业满足客户需求、维护客户关系，取得了很好的效果。</w:t>
      </w:r>
    </w:p>
    <w:p w14:paraId="54AD9368">
      <w:pPr>
        <w:pStyle w:val="5"/>
        <w:widowControl/>
        <w:numPr>
          <w:ilvl w:val="0"/>
          <w:numId w:val="27"/>
        </w:numPr>
        <w:ind w:left="0" w:leftChars="0" w:firstLine="0" w:firstLineChars="0"/>
        <w:outlineLvl w:val="1"/>
        <w:rPr>
          <w:rFonts w:hint="eastAsia" w:ascii="SimHei" w:hAnsi="SimHei" w:eastAsia="SimHei" w:cs="SimHei"/>
          <w:b w:val="0"/>
          <w:bdr w:val="none" w:sz="0" w:space="0"/>
        </w:rPr>
      </w:pPr>
      <w:bookmarkStart w:id="59" w:name="_Toc20536"/>
      <w:r>
        <w:t>人工智能对策划效率的提升</w:t>
      </w:r>
      <w:bookmarkEnd w:id="59"/>
    </w:p>
    <w:p w14:paraId="50AD3EEF">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人工智能技术，是数字技术中，对商务策划的影响最大的技术之一，在过去，商务策划的过程中，很多的工作，都是依靠人工来完成的，比如信息的收集，信息的分析，方案的制定，这些工作，都需要花费大量的时间，而且，准确性，也很有限，而人工智能技术，则能够帮助企业，自动化地完成这些工作，提升策划的效率，提升策划的准确性。</w:t>
      </w:r>
    </w:p>
    <w:p w14:paraId="22AC6440">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比如，人工智能，能够自动化的收集市场的信息，客户的信息，然后，自动化的对这些信息，进行分析，识别市场的趋势，识别客户的需求，然后，自动化地生成策划的方案，这就能够，大大地提升策划的效率，原来，一个策划的项目，需要花费几个月的时间，现在，借助AI技术只需要几天的时间就能够完成，而且准确性也比人工要高很多。比如AI可以通过自然语言处理技术自动解析需求文档，提取项目的关键功能点，这一过程不仅省时省力，还能保证信息的准确性；同时结合历史项目的数据，机器学习算法能够精准预测新项目的规模和开发工作量，让项目策划的精准度大幅提升。就像亚马逊通过AI实现个性化推荐和需求预测，制造业企业用AI优化生产计划和质量控制一样，AI在项目策划领域也展现出了提升效率与精准度的强大能力。</w:t>
      </w:r>
    </w:p>
    <w:p w14:paraId="4979B77E">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同时，人工智能，还能够帮助企业，进行模拟，模拟不同的策划方案的效果，帮助企业，选择最优的方案，比如，企业可以，通过AI，模拟不同的价格，不同的推广的方案，会带来什么样的效果，然后，选择最优的方案，这就能够，大大地提升策划的有效性，避免策划的失误。</w:t>
      </w:r>
    </w:p>
    <w:p w14:paraId="2C70754F">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比如，飞算科技，在策划的时候，就采用了人工智能的技术，AI能够，自动化的分析客户的需求，然后，自动化地生成软件开发的方案，大幅地提升了策划的效率，原来，一个软件开发的项目，策划的阶段，需要花费一个月的时间，现在，只需要一周的时间，就能够完成，而且，方案的准确性，也得到了很大的提升，这就是人工智能，对策划效率提升的典型应用。</w:t>
      </w:r>
    </w:p>
    <w:p w14:paraId="1D2FD520">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未来，人工智能的技术，会越来越成熟，会越来越多的，应用到商务策划的过程中，会大大地改变，商务策划的模式，原来的人工的策划，会逐步的，被智能的策划所取代，策划的效率，会越来越高，策划的准确性，也会越来越高，这对于科技服务企业而言，是很大的机会，企业需要，提前布局，掌握这些技术，提升自己策划能力。</w:t>
      </w:r>
    </w:p>
    <w:p w14:paraId="6BE1F6E9">
      <w:pPr>
        <w:pStyle w:val="5"/>
        <w:widowControl/>
        <w:numPr>
          <w:ilvl w:val="0"/>
          <w:numId w:val="27"/>
        </w:numPr>
        <w:ind w:left="0" w:leftChars="0" w:firstLine="0" w:firstLineChars="0"/>
        <w:outlineLvl w:val="1"/>
        <w:rPr>
          <w:rFonts w:hint="eastAsia" w:ascii="SimHei" w:hAnsi="SimHei" w:eastAsia="SimHei" w:cs="SimHei"/>
          <w:b w:val="0"/>
          <w:bdr w:val="none" w:sz="0" w:space="0"/>
        </w:rPr>
      </w:pPr>
      <w:bookmarkStart w:id="60" w:name="_Toc24658"/>
      <w:r>
        <w:t>云计算对策划资源的整合</w:t>
      </w:r>
      <w:bookmarkEnd w:id="60"/>
    </w:p>
    <w:p w14:paraId="3E8CE7C1">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云计算技术，能够帮助企业，整合策划的资源，在过去，企业的策划的资源，都是分散的，每个部门，都有自己的资源，自己的数据，无法共享，无法整合，这就导致了，策划的信息，是不全面的，策划的资源，无法得到有效地利用，而云计算技术，则能够，将这些资源，整合到一起，形成共享的资源池，实现资源的优化配置。</w:t>
      </w:r>
    </w:p>
    <w:p w14:paraId="2297D065">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比如，云计算，能够将企业的各个部门的数据，整合到一起，形成统一的数据平台，策划的人员，能够通过这个平台，获取所有的信息，从而，做出更全面的分析，制定更有效的策划方案，同时，云计算，也能够，将计算的资源，存储的资源，整合到一起，策划的人员，能够根据自己的需求，调用这些资源，大幅地提升了资源的利用效率。</w:t>
      </w:r>
    </w:p>
    <w:p w14:paraId="35A21038">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对于科技服务企业而言，云计算的应用，能够帮助企业，降低策划的成本，原来，企业需要，投入大量的资源，搭建自己的系统，存储自己的数据，而现在，企业可以，通过云计算，按需的使用资源，不需要投入大量的前期的成本，这就大大降低了，企业的成本，尤其是对于中小企业而言，是非常重要的。</w:t>
      </w:r>
    </w:p>
    <w:p w14:paraId="27E6E25C">
      <w:pPr>
        <w:pStyle w:val="19"/>
        <w:widowControl/>
        <w:rPr>
          <w:rFonts w:ascii="Times New Roman" w:hAnsi="Times New Roman" w:eastAsia="SimSun" w:cs="Times New Roman"/>
          <w:sz w:val="24"/>
          <w:szCs w:val="24"/>
        </w:rPr>
      </w:pPr>
      <w:r>
        <w:rPr>
          <w:rFonts w:ascii="Times New Roman" w:hAnsi="Times New Roman" w:eastAsia="SimSun" w:cs="Times New Roman"/>
          <w:b w:val="0"/>
          <w:sz w:val="24"/>
          <w:szCs w:val="24"/>
        </w:rPr>
        <w:t>比如，阿里云，就是云计算的典型的企业，阿里云的平台，整合了大量的计算、存储、网络的资源，企业的策划的人员，能够通过这个平台，获取所有的资源，进行策划的工作，大幅地提升了策划的效率，降低了策划的成本，很多科技服务企业，都通过阿里云的平台，开展自己的业务，实现了快速地发展。</w:t>
      </w:r>
    </w:p>
    <w:p w14:paraId="6E8071A9">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未来，云计算的技术，会越来越成熟，会越来越多的，应用到商务策划的过程中，会帮助企业，更好地整合资源，提升资源的利用效率，提升策划的效果，这也是，未来的商务策划的重要的趋势之一。</w:t>
      </w:r>
    </w:p>
    <w:p w14:paraId="61D94779">
      <w:pPr>
        <w:pStyle w:val="4"/>
        <w:widowControl/>
        <w:numPr>
          <w:ilvl w:val="0"/>
          <w:numId w:val="26"/>
        </w:numPr>
        <w:ind w:left="0" w:leftChars="0" w:firstLine="0" w:firstLineChars="0"/>
        <w:outlineLvl w:val="0"/>
        <w:rPr>
          <w:b w:val="0"/>
          <w:bdr w:val="none" w:sz="0" w:space="0"/>
        </w:rPr>
      </w:pPr>
      <w:bookmarkStart w:id="61" w:name="_Toc22006"/>
      <w:r>
        <w:t>全球化与绿色低碳驱动的商务策划转型方向</w:t>
      </w:r>
      <w:bookmarkEnd w:id="61"/>
      <w:r>
        <w:t xml:space="preserve">  </w:t>
      </w:r>
    </w:p>
    <w:p w14:paraId="161D1579">
      <w:pPr>
        <w:pStyle w:val="5"/>
        <w:widowControl/>
        <w:numPr>
          <w:ilvl w:val="0"/>
          <w:numId w:val="28"/>
        </w:numPr>
        <w:ind w:left="0" w:leftChars="0" w:firstLine="0" w:firstLineChars="0"/>
        <w:outlineLvl w:val="1"/>
        <w:rPr>
          <w:rFonts w:hint="eastAsia" w:ascii="SimHei" w:hAnsi="SimHei" w:eastAsia="SimHei" w:cs="SimHei"/>
          <w:b w:val="0"/>
          <w:bdr w:val="none" w:sz="0" w:space="0"/>
        </w:rPr>
      </w:pPr>
      <w:bookmarkStart w:id="62" w:name="_Toc546"/>
      <w:r>
        <w:t>全球化背景下商务策划的协同创新</w:t>
      </w:r>
      <w:bookmarkEnd w:id="62"/>
      <w:r>
        <w:t xml:space="preserve">  </w:t>
      </w:r>
    </w:p>
    <w:p w14:paraId="0DCA1C27">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随着经济全球化的深度演进，科技服务型企业的商务策划需突破地域壁垒，构建跨区域协同的策划体系。全球化趋势要求企业整合全球范围内的技术、人才、市场资源，通过跨国协作优化策划方案，提升国际市场竞争力。例如，某跨国科技服务集团搭建全球策划协作云平台，联合北美研发团队、欧洲市场部门及东南亚合作伙伴，共同制定针对新兴市场的智能解决方案策划，实现策划周期缩短40%，市场响应速度提升50%。同时，全球化策划需充分考虑不同国家的政策法规、文化差异与用户需求，如在中东市场策划时，需结合当地数字基础设施水平与宗教文化特点，调整服务内容与推广策略，确保方案的本地化适配性。  </w:t>
      </w:r>
    </w:p>
    <w:p w14:paraId="72B5F010">
      <w:pPr>
        <w:pStyle w:val="5"/>
        <w:widowControl/>
        <w:numPr>
          <w:ilvl w:val="0"/>
          <w:numId w:val="28"/>
        </w:numPr>
        <w:ind w:left="0" w:leftChars="0" w:firstLine="0" w:firstLineChars="0"/>
        <w:outlineLvl w:val="1"/>
        <w:rPr>
          <w:rFonts w:hint="eastAsia" w:ascii="SimHei" w:hAnsi="SimHei" w:eastAsia="SimHei" w:cs="SimHei"/>
          <w:b w:val="0"/>
          <w:bdr w:val="none" w:sz="0" w:space="0"/>
        </w:rPr>
      </w:pPr>
      <w:bookmarkStart w:id="63" w:name="_Toc6535"/>
      <w:r>
        <w:t>绿色低碳理念融入商务策划的实践路径</w:t>
      </w:r>
      <w:bookmarkEnd w:id="63"/>
      <w:r>
        <w:t xml:space="preserve">  </w:t>
      </w:r>
    </w:p>
    <w:p w14:paraId="63021F63">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绿色低碳已成为企业可持续发展的核心命题，商务策划需将ESG（环境、社会、治理）理念深度嵌入全流程。科技服务型企业可通过策划优化能源使用、减少碳排放，同时开发绿色技术服务产品。以良瓷科技为例，其在商务策划中引入“碳足迹全链路追踪”模块，利用数字技术监控生产、服务全流程的碳排放数据，制定针对性减排方案，不仅实现石膏废品年排放量从4000吨降至个位数，还推出低碳石膏建材技术服务包，获得政府绿色补贴与行业认证。此外，绿色策划需延伸至供应链环节，如选择环保供应商、优化物流路径，降低整体碳成本。据《2025全球绿色商务报告》显示，采用绿色策划的科技服务企业，品牌价值平均提升25%，客户忠诚度提高30%。  </w:t>
      </w:r>
    </w:p>
    <w:p w14:paraId="36EA6CA3">
      <w:pPr>
        <w:pStyle w:val="5"/>
        <w:widowControl/>
        <w:numPr>
          <w:ilvl w:val="0"/>
          <w:numId w:val="28"/>
        </w:numPr>
        <w:ind w:left="0" w:leftChars="0" w:firstLine="0" w:firstLineChars="0"/>
        <w:outlineLvl w:val="1"/>
        <w:rPr>
          <w:rFonts w:hint="eastAsia" w:ascii="SimHei" w:hAnsi="SimHei" w:eastAsia="SimHei" w:cs="SimHei"/>
          <w:b w:val="0"/>
          <w:bdr w:val="none" w:sz="0" w:space="0"/>
        </w:rPr>
      </w:pPr>
      <w:bookmarkStart w:id="64" w:name="_Toc30218"/>
      <w:r>
        <w:t>新质生产力引领的策划模式升级</w:t>
      </w:r>
      <w:bookmarkEnd w:id="64"/>
      <w:r>
        <w:t xml:space="preserve">  </w:t>
      </w:r>
    </w:p>
    <w:p w14:paraId="594BB969">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新质生产力以创新为主导，推动商务策划从传统要素驱动转向科技驱动。科技服务型企业需在策划中融合人工智能、大数据、数字孪生等前沿技术，打造高效能、高质量的策划模式。例如，某人工智能服务企业利用数字孪生技术构建策划仿真系统，对不同技术服务方案的市场效果、资源消耗进行模拟预测，提前规避风险并优化方案设计，使策划精准度提升65%。此外，新质生产力强调跨界融合，策划时需打破行业边界，如科技服务与制造业、农业的深度融合，开发“科技+产业”的创新服务模式。未来，新质生产力将推动商务策划向智能化、精准化、绿色化方向迭代，成为企业核心竞争力的关键支撑。</w:t>
      </w:r>
    </w:p>
    <w:p w14:paraId="75ACCBA2">
      <w:pPr>
        <w:pStyle w:val="4"/>
        <w:widowControl/>
        <w:numPr>
          <w:ilvl w:val="0"/>
          <w:numId w:val="26"/>
        </w:numPr>
        <w:ind w:left="0" w:leftChars="0" w:firstLine="0" w:firstLineChars="0"/>
        <w:outlineLvl w:val="0"/>
        <w:rPr>
          <w:b w:val="0"/>
          <w:bdr w:val="none" w:sz="0" w:space="0"/>
        </w:rPr>
      </w:pPr>
      <w:bookmarkStart w:id="65" w:name="_Toc21795"/>
      <w:r>
        <w:t>需求升级与用户体验导向的商务策划优化策略</w:t>
      </w:r>
      <w:bookmarkEnd w:id="65"/>
      <w:r>
        <w:t xml:space="preserve">  </w:t>
      </w:r>
    </w:p>
    <w:p w14:paraId="55C83D30">
      <w:pPr>
        <w:pStyle w:val="5"/>
        <w:widowControl/>
        <w:numPr>
          <w:ilvl w:val="0"/>
          <w:numId w:val="29"/>
        </w:numPr>
        <w:ind w:left="0" w:leftChars="0" w:firstLine="0" w:firstLineChars="0"/>
        <w:outlineLvl w:val="1"/>
        <w:rPr>
          <w:rFonts w:hint="eastAsia" w:ascii="SimHei" w:hAnsi="SimHei" w:eastAsia="SimHei" w:cs="SimHei"/>
          <w:b w:val="0"/>
          <w:bdr w:val="none" w:sz="0" w:space="0"/>
        </w:rPr>
      </w:pPr>
      <w:bookmarkStart w:id="66" w:name="_Toc994"/>
      <w:r>
        <w:t>需求升级下的用户需求深度挖掘</w:t>
      </w:r>
      <w:bookmarkEnd w:id="66"/>
      <w:r>
        <w:t xml:space="preserve">  </w:t>
      </w:r>
    </w:p>
    <w:p w14:paraId="22E925C7">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随着消费市场与企业服务需求的多元化升级，科技服务型企业的商务策划需从“产品导向”转向“需求导向”，通过精准挖掘用户深层次、场景化需求，构建差异化竞争优势。当前用户需求已从基础功能满足延伸至个性化定制、全生命周期服务及情感价值共鸣，这要求策划过程中引入更精细的需求分析工具与方法。例如，某企业服务SaaS平台运用自然语言处理技术解析用户在线咨询、产品评价及行业论坛讨论数据，结合用户行为轨迹构建“需求图谱”，成功识别出中小企业对“低成本数字化转型套餐”的隐藏需求，据此策划推出的模块化服务方案上线3个月即占据同类市场15%份额。据艾瑞咨询2025年Q2报告显示，78%的科技服务企业认为深度需求挖掘能使策划方案的市场匹配度提升50%以上，成为驱动业务增长的关键因素。  </w:t>
      </w:r>
    </w:p>
    <w:p w14:paraId="256D955F">
      <w:pPr>
        <w:pStyle w:val="5"/>
        <w:widowControl/>
        <w:numPr>
          <w:ilvl w:val="0"/>
          <w:numId w:val="29"/>
        </w:numPr>
        <w:ind w:left="0" w:leftChars="0" w:firstLine="0" w:firstLineChars="0"/>
        <w:outlineLvl w:val="1"/>
        <w:rPr>
          <w:rFonts w:hint="eastAsia" w:ascii="SimHei" w:hAnsi="SimHei" w:eastAsia="SimHei" w:cs="SimHei"/>
          <w:b w:val="0"/>
          <w:bdr w:val="none" w:sz="0" w:space="0"/>
        </w:rPr>
      </w:pPr>
      <w:bookmarkStart w:id="67" w:name="_Toc21939"/>
      <w:r>
        <w:t>体验导向的策划方案设计</w:t>
      </w:r>
      <w:bookmarkEnd w:id="67"/>
      <w:r>
        <w:t xml:space="preserve">  </w:t>
      </w:r>
    </w:p>
    <w:p w14:paraId="05D40C73">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用户体验已成为商务策划的核心评价维度，科技服务型企业需将体验设计贯穿策划全流程，从用户触达、服务交付到售后反馈形成闭环体验体系。策划时需关注用户在不同场景下的交互痛点，通过优化服务流程、简化操作路径、提供个性化支持提升体验感知。例如，钉钉针对制造行业用户策划推出“智能工厂工作台”，整合设备监控、生产调度、员工培训等场景化功能模块，同时提供7×24小时智能客服与专属顾问服务，使企业用户的操作效率提升35%，服务满意度达92%。《2025企业服务体验白皮书》指出，采用体验导向策划的科技服务企业，用户留存率平均提升45%，推荐率提高38%。  </w:t>
      </w:r>
    </w:p>
    <w:p w14:paraId="3BE0747D">
      <w:pPr>
        <w:pStyle w:val="5"/>
        <w:widowControl/>
        <w:numPr>
          <w:ilvl w:val="0"/>
          <w:numId w:val="29"/>
        </w:numPr>
        <w:ind w:left="0" w:leftChars="0" w:firstLine="0" w:firstLineChars="0"/>
        <w:outlineLvl w:val="1"/>
        <w:rPr>
          <w:rFonts w:hint="eastAsia" w:ascii="SimHei" w:hAnsi="SimHei" w:eastAsia="SimHei" w:cs="SimHei"/>
          <w:b w:val="0"/>
          <w:bdr w:val="none" w:sz="0" w:space="0"/>
        </w:rPr>
      </w:pPr>
      <w:bookmarkStart w:id="68" w:name="_Toc16258"/>
      <w:r>
        <w:t>策划效果的动态评估与迭代机制</w:t>
      </w:r>
      <w:bookmarkEnd w:id="68"/>
      <w:r>
        <w:t xml:space="preserve">  </w:t>
      </w:r>
    </w:p>
    <w:p w14:paraId="5AD4BBE0">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传统商务策划的效果评估多为事后静态分析，难以适应快速变化的市场环境。未来策划需建立动态评估与迭代机制，通过实时数据监测、A/B测试、用户反馈收集等方式，持续优化方案。例如，某云计算服务企业在策划新客户拓展方案时，采用A/B测试对比不同推广渠道与内容的效果，每日分析用户转化数据，每周迭代调整策划细节，最终使新客户获取成本降低28%，转化效率提升32%。Gartner 2025年科技服务行业报告显示，实施动态迭代策划机制的企业，策划投资回报率（ROI）平均提升2.3倍，市场响应速度加快60%。  </w:t>
      </w:r>
    </w:p>
    <w:p w14:paraId="59AF0C75">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本章通过对数字技术赋能、全球化与绿色低碳转型、需求升级与体验优化三大趋势的系统阐述，全面勾勒出科技服务型企业商务策划的未来图景。学习者需将理论认知与实践案例相结合，把握趋势背后的逻辑与方法，为应对未来市场挑战、制定前瞻性策划方案奠定基础。</w:t>
      </w:r>
    </w:p>
    <w:p w14:paraId="76616D3D">
      <w:pPr>
        <w:pStyle w:val="4"/>
        <w:widowControl/>
        <w:numPr>
          <w:ilvl w:val="0"/>
          <w:numId w:val="26"/>
        </w:numPr>
        <w:ind w:left="0" w:leftChars="0" w:firstLine="0" w:firstLineChars="0"/>
        <w:outlineLvl w:val="0"/>
        <w:rPr>
          <w:b w:val="0"/>
          <w:bdr w:val="none" w:sz="0" w:space="0"/>
        </w:rPr>
      </w:pPr>
      <w:bookmarkStart w:id="69" w:name="_Toc14337"/>
      <w:r>
        <w:t>科技服务型企业商务策划能力的体系化构建与未来展望</w:t>
      </w:r>
      <w:bookmarkEnd w:id="69"/>
      <w:r>
        <w:t xml:space="preserve">  </w:t>
      </w:r>
    </w:p>
    <w:p w14:paraId="545A026D">
      <w:pPr>
        <w:pStyle w:val="5"/>
        <w:widowControl/>
        <w:numPr>
          <w:ilvl w:val="0"/>
          <w:numId w:val="30"/>
        </w:numPr>
        <w:ind w:left="0" w:leftChars="0" w:firstLine="0" w:firstLineChars="0"/>
        <w:outlineLvl w:val="1"/>
        <w:rPr>
          <w:rFonts w:hint="eastAsia" w:ascii="SimHei" w:hAnsi="SimHei" w:eastAsia="SimHei" w:cs="SimHei"/>
          <w:b w:val="0"/>
          <w:bdr w:val="none" w:sz="0" w:space="0"/>
        </w:rPr>
      </w:pPr>
      <w:bookmarkStart w:id="70" w:name="_Toc29103"/>
      <w:r>
        <w:t>组织架构的敏捷化转型</w:t>
      </w:r>
      <w:bookmarkEnd w:id="70"/>
      <w:r>
        <w:t xml:space="preserve">  </w:t>
      </w:r>
    </w:p>
    <w:p w14:paraId="4C39CAFF">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为适配数字技术赋能、全球化协同及用户需求快速变化的趋势，科技服务型企业需推动商务策划组织架构从传统层级制向敏捷化团队转型。通过组建跨部门、跨区域的项目制策划小组，打破部门壁垒，实现信息实时共享与快速决策。例如，华为云的商务策划团队采用“敏捷部落”模式，将产品、市场、技术人员纳入同一小组，针对海外市场需求快速迭代策划方案，使方案落地周期缩短30%。同时，引入OKR（目标与关键成果）管理体系，明确策划目标与责任分工，提升团队协作效率。据麦肯锡2025年报告显示，采用敏捷架构的科技服务企业，策划方案的市场适配度提升40%，团队创新能力增强55%。  </w:t>
      </w:r>
    </w:p>
    <w:p w14:paraId="37CA5F65">
      <w:pPr>
        <w:pStyle w:val="5"/>
        <w:widowControl/>
        <w:numPr>
          <w:ilvl w:val="0"/>
          <w:numId w:val="30"/>
        </w:numPr>
        <w:ind w:left="0" w:leftChars="0" w:firstLine="0" w:firstLineChars="0"/>
        <w:outlineLvl w:val="1"/>
        <w:rPr>
          <w:rFonts w:hint="eastAsia" w:ascii="SimHei" w:hAnsi="SimHei" w:eastAsia="SimHei" w:cs="SimHei"/>
          <w:b w:val="0"/>
          <w:bdr w:val="none" w:sz="0" w:space="0"/>
        </w:rPr>
      </w:pPr>
      <w:bookmarkStart w:id="71" w:name="_Toc19541"/>
      <w:r>
        <w:t>复合型策划人才的培养与储备</w:t>
      </w:r>
      <w:bookmarkEnd w:id="71"/>
      <w:r>
        <w:t xml:space="preserve">  </w:t>
      </w:r>
    </w:p>
    <w:p w14:paraId="6861615E">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未来商务策划对人才提出更高要求，需具备数字技术应用能力、全球化视野、绿色低碳意识及用户体验思维的复合型人才。企业可通过内部培训与外部引进相结合的方式，构建人才梯队。例如，百度智能云开设“策划人才赋能计划”，培训内容涵盖AI工具使用、ESG理念融入、跨文化沟通等模块，每年培养200+复合型策划人才。此外，与高校合作开设相关专业课程，如“数字商务策划与管理”，提前储备后备人才。LinkedIn 2025年人才趋势报告指出，具备数字技术与商务策划双能力的人才薪资溢价达35%，成为企业争抢的核心资源。  </w:t>
      </w:r>
    </w:p>
    <w:p w14:paraId="4A216AD1">
      <w:pPr>
        <w:pStyle w:val="5"/>
        <w:widowControl/>
        <w:numPr>
          <w:ilvl w:val="0"/>
          <w:numId w:val="30"/>
        </w:numPr>
        <w:ind w:left="0" w:leftChars="0" w:firstLine="0" w:firstLineChars="0"/>
        <w:outlineLvl w:val="1"/>
        <w:rPr>
          <w:rFonts w:hint="eastAsia" w:ascii="SimHei" w:hAnsi="SimHei" w:eastAsia="SimHei" w:cs="SimHei"/>
          <w:b w:val="0"/>
          <w:bdr w:val="none" w:sz="0" w:space="0"/>
        </w:rPr>
      </w:pPr>
      <w:bookmarkStart w:id="72" w:name="_Toc4546"/>
      <w:r>
        <w:t>开放协同的技术生态构建</w:t>
      </w:r>
      <w:bookmarkEnd w:id="72"/>
      <w:r>
        <w:t xml:space="preserve">  </w:t>
      </w:r>
    </w:p>
    <w:p w14:paraId="35703236">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 xml:space="preserve">科技服务型企业需构建开放协同的技术生态，整合数字技术、绿色技术及用户体验相关资源，为商务策划提供全方位支撑。通过与云服务商、AI技术提供商、绿色认证机构等建立战略伙伴关系，共享技术、数据与服务资源。例如，阿里云联合多家科技企业打造“商务策划生态联盟”，提供大数据分析、AI策划工具、碳足迹追踪等一站式服务，帮助企业降低策划成本，提升方案质量。未来，技术生态将成为企业商务策划的核心支撑，推动策划模式向更智能、更绿色、更高效的方向发展。  </w:t>
      </w:r>
    </w:p>
    <w:p w14:paraId="37719880">
      <w:pPr>
        <w:pStyle w:val="19"/>
        <w:widowControl/>
        <w:rPr>
          <w:rFonts w:ascii="Times New Roman" w:hAnsi="Times New Roman" w:eastAsia="SimSun" w:cs="Times New Roman"/>
          <w:b w:val="0"/>
          <w:sz w:val="24"/>
          <w:szCs w:val="24"/>
        </w:rPr>
      </w:pPr>
      <w:r>
        <w:rPr>
          <w:rFonts w:ascii="Times New Roman" w:hAnsi="Times New Roman" w:eastAsia="SimSun" w:cs="Times New Roman"/>
          <w:b w:val="0"/>
          <w:sz w:val="24"/>
          <w:szCs w:val="24"/>
        </w:rPr>
        <w:t>本章通过对数字技术赋能、全球化与绿色低碳转型、需求升级与体验优化及能力体系构建的系统分析，全面勾勒出科技服务型企业商务策划的未来发展路径。企业需主动拥抱趋势变化，通过技术应用、组织变革与人才培养，持续提升策划能力，在复杂多变的市场环境中实现可持续增长。</w:t>
      </w:r>
    </w:p>
    <w:p w14:paraId="03E70D9A">
      <w:pPr>
        <w:pStyle w:val="4"/>
        <w:widowControl/>
        <w:numPr>
          <w:ilvl w:val="0"/>
          <w:numId w:val="26"/>
        </w:numPr>
        <w:ind w:left="0" w:leftChars="0" w:firstLine="0" w:firstLineChars="0"/>
        <w:outlineLvl w:val="0"/>
        <w:rPr>
          <w:b w:val="0"/>
          <w:bdr w:val="none" w:sz="0" w:space="0"/>
        </w:rPr>
      </w:pPr>
      <w:bookmarkStart w:id="73" w:name="_Toc15375"/>
      <w:r>
        <w:t>总结与未来行动倡议</w:t>
      </w:r>
      <w:bookmarkEnd w:id="73"/>
      <w:r>
        <w:t xml:space="preserve">  </w:t>
      </w:r>
    </w:p>
    <w:p w14:paraId="5DB470D5">
      <w:pPr>
        <w:pStyle w:val="19"/>
        <w:widowControl/>
        <w:rPr>
          <w:rFonts w:ascii="Times New Roman" w:hAnsi="Times New Roman" w:eastAsia="SimSun" w:cs="Times New Roman"/>
          <w:b w:val="0"/>
          <w:sz w:val="24"/>
          <w:szCs w:val="24"/>
        </w:rPr>
        <w:sectPr>
          <w:footerReference r:id="rId7" w:type="default"/>
          <w:pgSz w:w="12240" w:h="15840"/>
          <w:pgMar w:top="1440" w:right="1800" w:bottom="1440" w:left="1800" w:header="720" w:footer="720" w:gutter="0"/>
          <w:pgNumType w:fmt="decimal"/>
          <w:cols w:space="720" w:num="1"/>
          <w:docGrid w:linePitch="360" w:charSpace="0"/>
        </w:sectPr>
      </w:pPr>
      <w:r>
        <w:rPr>
          <w:rFonts w:ascii="Times New Roman" w:hAnsi="Times New Roman" w:eastAsia="SimSun" w:cs="Times New Roman"/>
          <w:b w:val="0"/>
          <w:sz w:val="24"/>
          <w:szCs w:val="24"/>
        </w:rPr>
        <w:t>本章围绕科技服务型企业商务策划的核心趋势展开系统分析，从数字技术的深度赋能、全球化与绿色低碳的转型驱动、需求升级下的体验优化，到能力体系的体系化构建，清晰勾勒出未来策划模式的进化路径。未来，科技服务型企业需将技术创新、绿色责任、用户价值与组织能力有机融合，形成“技术支撑-价值导向-责任引领-能力保障”的闭环生态。唯有主动拥抱变革，以开放协同的姿态整合资源，以敏捷迭代的思维优化策划流程，才能在复杂多变的市场环境中持续提升核心竞争力，推动商务策划向更智能、更绿色、更高效的方向迈进，为企业可持续增长与行业高质量发展贡献力量。</w:t>
      </w:r>
    </w:p>
    <w:p w14:paraId="213D5678">
      <w:pPr>
        <w:pStyle w:val="170"/>
        <w:outlineLvl w:val="9"/>
      </w:pPr>
      <w:r>
        <w:t>参考文献</w:t>
      </w:r>
    </w:p>
    <w:p w14:paraId="6809A666">
      <w:pPr>
        <w:pStyle w:val="139"/>
        <w:widowControl/>
      </w:pPr>
      <w:r>
        <w:t>[01]</w:t>
      </w:r>
      <w:r>
        <w:t>刘开云. 科技服务业研究述评与展望[J]. 科技进步与对策, 2014, 31(13): 151-155.</w:t>
      </w:r>
    </w:p>
    <w:p w14:paraId="7329F928">
      <w:pPr>
        <w:pStyle w:val="139"/>
        <w:widowControl/>
      </w:pPr>
      <w:r>
        <w:t>[01]</w:t>
      </w:r>
      <w:r>
        <w:t>吴生高,季春,罗利华. 我国科技基础条件平台建设的现状与对策建议[J]. 科技与经济,2007,20(3):7-10.</w:t>
      </w:r>
    </w:p>
    <w:p w14:paraId="7B9441EF">
      <w:pPr>
        <w:pStyle w:val="139"/>
        <w:widowControl/>
      </w:pPr>
      <w:r>
        <w:t>[01]</w:t>
      </w:r>
      <w:r>
        <w:t>许强,杨艳. 公共科技创新平台运行机理研究[J]. 科学学与科学技术管理,2010,31(12):56-61.</w:t>
      </w:r>
    </w:p>
    <w:p w14:paraId="6790652D">
      <w:pPr>
        <w:pStyle w:val="139"/>
        <w:widowControl/>
      </w:pPr>
      <w:r>
        <w:t>[01]</w:t>
      </w:r>
      <w:r>
        <w:t>王鹏,郑靖宇. 科技服务效率对产业结构转型升级的影响及其空间外溢效应[J]. 研究与发展管理,2018,30(2):46-60.</w:t>
      </w:r>
    </w:p>
    <w:p w14:paraId="46379BFB">
      <w:pPr>
        <w:pStyle w:val="139"/>
        <w:widowControl/>
      </w:pPr>
      <w:r>
        <w:t>[01]</w:t>
      </w:r>
      <w:r>
        <w:t>刘烨,肖广岭,岳素芳,卢凡,赫运涛. 省际区域公共科技服务平台布局初探[J]. 科学学研究,2016,34(9):1305-1312.</w:t>
      </w:r>
    </w:p>
    <w:p w14:paraId="7A1F27BB">
      <w:pPr>
        <w:pStyle w:val="139"/>
        <w:widowControl/>
      </w:pPr>
      <w:r>
        <w:t>[01]</w:t>
      </w:r>
      <w:r>
        <w:t>沈淦,李倩. 价值链理论视角下科技服务模块化探究[J]. 科技创业月刊, 2022, 35(6): 1-8.</w:t>
      </w:r>
    </w:p>
    <w:p w14:paraId="6EAB1D95">
      <w:pPr>
        <w:pStyle w:val="139"/>
        <w:widowControl/>
      </w:pPr>
      <w:r>
        <w:t>[01]</w:t>
      </w:r>
      <w:r>
        <w:t>秦子初,梅晚霞. “互联网+”对企业创新绩效的影响研究——基于两阶段创新价值链视角[J]. 科技创业月刊, 2022, 35(3): 1-6.</w:t>
      </w:r>
    </w:p>
    <w:p w14:paraId="17DF9F41">
      <w:pPr>
        <w:pStyle w:val="139"/>
        <w:widowControl/>
      </w:pPr>
      <w:r>
        <w:t>[01]</w:t>
      </w:r>
      <w:r>
        <w:t>杨伟, 周青, 郑登攀. “互联网+”创新生态系统: 内涵特征与形成机理[J]. 技术经济, 2018, 37(7): 10-16.</w:t>
      </w:r>
    </w:p>
    <w:p w14:paraId="09E955AD">
      <w:pPr>
        <w:pStyle w:val="139"/>
        <w:widowControl/>
      </w:pPr>
      <w:r>
        <w:t>[01]</w:t>
      </w:r>
      <w:r>
        <w:t>齐宝鑫,武亚军. 战略管理视角下利益相关者理论的回顾与发展前瞻[J]. 工业技术经济,2018,37(2):3-12.</w:t>
      </w:r>
    </w:p>
    <w:p w14:paraId="6B65BDEB">
      <w:pPr>
        <w:pStyle w:val="139"/>
        <w:widowControl/>
      </w:pPr>
      <w:r>
        <w:t>[01]</w:t>
      </w:r>
      <w:r>
        <w:t>荆浩. 大数据时代商业模式创新研究[J]. 科技进步与对策,2014,31(7):15-19.</w:t>
      </w:r>
    </w:p>
    <w:p w14:paraId="3F6773D5">
      <w:pPr>
        <w:pStyle w:val="139"/>
        <w:widowControl/>
      </w:pPr>
      <w:r>
        <w:t>[01]</w:t>
      </w:r>
      <w:r>
        <w:t>李娜,吴翔,周建涛,徐凯飞. 简析江苏农村科技服务超市建设现状[J]. 农业科技管理,2012,31(2):79-82.</w:t>
      </w:r>
    </w:p>
    <w:p w14:paraId="354A9AC2">
      <w:pPr>
        <w:pStyle w:val="139"/>
        <w:widowControl/>
      </w:pPr>
      <w:r>
        <w:t>[01]</w:t>
      </w:r>
      <w:r>
        <w:t>魏江, 王诗翔. 商业模式创新: 从技术创新到价值创造[M]. 北京: 机械工业出版社, 2021.</w:t>
      </w:r>
    </w:p>
    <w:p w14:paraId="1A0887A6">
      <w:pPr>
        <w:pStyle w:val="139"/>
        <w:widowControl/>
      </w:pPr>
      <w:r>
        <w:t>[01]</w:t>
      </w:r>
      <w:r>
        <w:t>CHESBROUGH H. Open business models: How to thrive in the new innovation landscape[M]. Boston: Harvard Business Press, 2013.</w:t>
      </w:r>
    </w:p>
    <w:p w14:paraId="02D3624B">
      <w:pPr>
        <w:pStyle w:val="139"/>
        <w:widowControl/>
      </w:pPr>
      <w:r>
        <w:t>[01]</w:t>
      </w:r>
      <w:r>
        <w:t>OSTERWALDER A, PIGNEUR Y. Business Model Generation: A Handbook for Visionaries, Game Changers, and Challengers[M]. Hoboken: John Wiley &amp; Sons, 2010.</w:t>
      </w:r>
    </w:p>
    <w:p w14:paraId="207805C0">
      <w:pPr>
        <w:pStyle w:val="139"/>
        <w:widowControl/>
      </w:pPr>
      <w:r>
        <w:t>[01]</w:t>
      </w:r>
      <w:r>
        <w:t>NASIROV S, CASTALDI C. Servitization as a strategy for diffusing radical technologies: An analysis of US top corporate R&amp;D investors[J]. Research Policy, 2025, 54(1): 105123.</w:t>
      </w:r>
    </w:p>
    <w:p w14:paraId="4F8F7072">
      <w:pPr>
        <w:pStyle w:val="139"/>
        <w:widowControl/>
      </w:pPr>
      <w:r>
        <w:t>[01]</w:t>
      </w:r>
      <w:r>
        <w:t>WANG L, ZHANG Y. Business models and performance of high-tech service firms in China: The role of technological innovation modes[J]. Heliyon, 2023, 9(7): e17797.</w:t>
      </w:r>
    </w:p>
    <w:p w14:paraId="66F3EFB6">
      <w:r>
        <w:br w:type="page"/>
      </w:r>
    </w:p>
    <w:p w14:paraId="2D4E36A0">
      <w:pPr>
        <w:pStyle w:val="170"/>
      </w:pPr>
      <w:bookmarkStart w:id="74" w:name="_Toc7518"/>
      <w:r>
        <w:t>致谢</w:t>
      </w:r>
      <w:bookmarkEnd w:id="74"/>
    </w:p>
    <w:p w14:paraId="7F9066B9">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首先，我们衷心感谢参与本书编写的核心团队成员：王小明、张丽和李强。王小明在案例的广泛收集与系统整理中展现了卓越的组织能力，确保了基础材料的丰富性与准确性；张丽以其细腻的笔触和严谨的态度，在内容打磨与文字润色上投入了无数精力，提升了本书的可读性与专业性；李强则从理论框架到实践衔接提供了关键见解，使整体结构更加清晰有力。他们的无私奉献与紧密合作，是本书得以成稿的基石。</w:t>
      </w:r>
    </w:p>
    <w:p w14:paraId="3E77E2D7">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同时，我们诚挚感谢出版社的编辑团队。从初稿的审阅到最终的定稿，他们凭借丰富的出版经验与专业素养，在内容校对、版式设计及流程协调上给予了全方位支持，确保了本书能够高质量、高效率地顺利出版。他们的耐心指导与细致工作，为我们解决了许多实际难题。</w:t>
      </w:r>
    </w:p>
    <w:p w14:paraId="179B0A58">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此外，我们特别感谢为本书提供宝贵案例素材的智联科技、诺海通等优秀企业。这些源自真实商业场景的鲜活案例，不仅丰富了本书的实践内容，更让其中的策略分析与方法探讨更具说服力与借鉴价值。他们的开放分享与鼎力相助，使得本书能够紧密贴合科技服务业的发展动态。</w:t>
      </w:r>
    </w:p>
    <w:p w14:paraId="72E59E7B">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最后，我们深怀感激之情，致谢所有关注科技服务业发展的同仁与广大读者。你们的持续关注、宝贵反馈与热情鼓励，始终激励着我们不断优化与完善内容。未来，我们期待继续与各位携手，共同推动行业知识的传播与进步。</w:t>
      </w:r>
    </w:p>
    <w:p w14:paraId="4F825E38">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《科技服务型企业商务策划》编写团队</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 xml:space="preserve">  </w:t>
      </w:r>
    </w:p>
    <w:p w14:paraId="558899F3">
      <w:pPr>
        <w:rPr>
          <w:rFonts w:hint="eastAsia" w:ascii="Times New Roman" w:hAnsi="Times New Roman" w:eastAsia="SimSun" w:cs="Times New Roman"/>
          <w:sz w:val="24"/>
          <w:szCs w:val="24"/>
          <w:lang w:eastAsia="zh-CN"/>
        </w:rPr>
      </w:pPr>
      <w:r>
        <w:rPr>
          <w:rFonts w:hint="eastAsia" w:ascii="Times New Roman" w:hAnsi="Times New Roman" w:eastAsia="SimSun" w:cs="Times New Roman"/>
          <w:sz w:val="24"/>
          <w:szCs w:val="24"/>
          <w:lang w:eastAsia="zh-CN"/>
        </w:rPr>
        <w:t>2026年04月</w:t>
      </w:r>
    </w:p>
    <w:p w14:paraId="75D1FABC">
      <w:pPr>
        <w:pStyle w:val="19"/>
        <w:ind w:firstLine="480" w:firstLineChars="200"/>
        <w:outlineLvl w:val="0"/>
        <w:rPr>
          <w:rFonts w:ascii="Times New Roman" w:hAnsi="Times New Roman" w:eastAsia="SimSun" w:cs="Times New Roman"/>
          <w:sz w:val="24"/>
          <w:szCs w:val="24"/>
        </w:rPr>
      </w:pPr>
      <w:r>
        <w:rPr>
          <w:rFonts w:ascii="Times New Roman" w:hAnsi="Times New Roman" w:eastAsia="SimSun" w:cs="Times New Roman"/>
          <w:sz w:val="24"/>
          <w:szCs w:val="24"/>
        </w:rPr>
        <w:br w:type="page"/>
      </w:r>
      <w:bookmarkStart w:id="75" w:name="_Toc10494"/>
      <w:r>
        <w:rPr>
          <w:rFonts w:ascii="Times New Roman" w:hAnsi="Times New Roman" w:eastAsia="SimSun" w:cs="Times New Roman"/>
          <w:sz w:val="24"/>
          <w:szCs w:val="24"/>
        </w:rPr>
        <w:t>附录</w:t>
      </w:r>
      <w:bookmarkEnd w:id="75"/>
    </w:p>
    <w:p w14:paraId="6E9554AE">
      <w:pPr>
        <w:pStyle w:val="171"/>
      </w:pPr>
      <w:bookmarkStart w:id="76" w:name="_Toc18150"/>
      <w:r>
        <w:t>附录A 商务策划常用工具模板</w:t>
      </w:r>
      <w:bookmarkEnd w:id="76"/>
    </w:p>
    <w:p w14:paraId="70121DA6">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1. PEST分析模板：用于宏观环境分析，涵盖政策、经济、社会、技术四大维度的调研与评估框架。该模板通过系统梳理各维度关键因素，如政策法规动向、经济指标波动、社会文化趋势和技术创新突破，帮助企业识别外部机遇与挑战，并为战略规划提供数据支持。通常包括详细的数据收集指南和评估表格，以促进全面环境扫描。</w:t>
      </w:r>
    </w:p>
    <w:p w14:paraId="77C357AB">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2. SWOT分析矩阵：用于内外部资源研判，帮助企业梳理自身优势、劣势、机遇与威胁，生成对应策略。该矩阵通过交叉分析内部资源与外部环境，推导出SO（优势-机遇）、WO（劣势-机遇）、ST（优势-威胁）和WT（劣势-威胁）策略组合，辅助企业优化资源配置并制定针对性行动计划，提升决策效率。</w:t>
      </w:r>
    </w:p>
    <w:p w14:paraId="46C41629">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3. 商业模式画布：用于商业模式设计，涵盖客户细分、价值主张、渠道通路、客户关系、收入来源、关键资源、关键活动、关键合作伙伴和成本结构九大核心模块。该工具以可视化方式呈现商业模式逻辑，强调各模块间的协同作用，帮助企业快速迭代创新，并验证商业假设的可行性，适用于初创企业或业务转型场景。</w:t>
      </w:r>
    </w:p>
    <w:p w14:paraId="08300E3A">
      <w:pPr>
        <w:pStyle w:val="19"/>
        <w:widowControl/>
        <w:rPr>
          <w:rFonts w:ascii="Times New Roman" w:hAnsi="Times New Roman" w:eastAsia="SimSun" w:cs="Times New Roman"/>
          <w:sz w:val="24"/>
          <w:szCs w:val="24"/>
        </w:rPr>
      </w:pPr>
      <w:r>
        <w:rPr>
          <w:rFonts w:ascii="Times New Roman" w:hAnsi="Times New Roman" w:eastAsia="SimSun" w:cs="Times New Roman"/>
          <w:sz w:val="24"/>
          <w:szCs w:val="24"/>
        </w:rPr>
        <w:t>4. 风险概率-影响矩阵：用于风险评估，对策划风险进行定性评估与优先级排序。该矩阵通过评估风险发生概率和潜在影响程度，将风险划分为高、中、低优先级区域，便于企业聚焦关键风险并制定预防与应对措施。通常结合风险登记册使用，以跟踪风险状态和缓解效果。</w:t>
      </w:r>
    </w:p>
    <w:p w14:paraId="595F715F">
      <w:pPr>
        <w:pStyle w:val="19"/>
        <w:widowControl/>
        <w:ind w:left="0" w:leftChars="0" w:firstLine="0" w:firstLineChars="0"/>
        <w:rPr>
          <w:rFonts w:hint="default" w:cs="Times New Roman"/>
          <w:b w:val="0"/>
          <w:sz w:val="24"/>
          <w:szCs w:val="24"/>
          <w:lang w:val="en-US" w:eastAsia="zh-CN"/>
        </w:rPr>
      </w:pPr>
    </w:p>
    <w:sectPr>
      <w:pgSz w:w="12240" w:h="15840"/>
      <w:pgMar w:top="1440" w:right="1800" w:bottom="1440" w:left="180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3E6BA675-EB9C-4356-A583-30904366DD0E}"/>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embedRegular r:id="rId2" w:fontKey="{C25999AF-CFB7-4477-91F3-EA06BC1A958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2800DE2-E078-4889-8BF4-2824780EE547}"/>
  </w:font>
  <w:font w:name="Microsoft YaHei">
    <w:panose1 w:val="020B0503020204020204"/>
    <w:charset w:val="86"/>
    <w:family w:val="auto"/>
    <w:pitch w:val="default"/>
    <w:sig w:usb0="80000287" w:usb1="2ACF3C50" w:usb2="00000016" w:usb3="00000000" w:csb0="0004001F" w:csb1="00000000"/>
    <w:embedRegular r:id="rId4" w:fontKey="{8C99EADD-4005-44D4-80AB-6D1CF7A70DDF}"/>
  </w:font>
  <w:font w:name="Microsoft JhengHei">
    <w:panose1 w:val="020B0604030504040204"/>
    <w:charset w:val="88"/>
    <w:family w:val="auto"/>
    <w:pitch w:val="default"/>
    <w:sig w:usb0="000002A7" w:usb1="28CF4400" w:usb2="00000016" w:usb3="00000000" w:csb0="00100009"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ＭＳ 明朝">
    <w:altName w:val="SimSun"/>
    <w:panose1 w:val="00000000000000000000"/>
    <w:charset w:val="86"/>
    <w:family w:val="auto"/>
    <w:pitch w:val="default"/>
    <w:sig w:usb0="00000000" w:usb1="00000000" w:usb2="00000000" w:usb3="00000000" w:csb0="00000000" w:csb1="00000000"/>
  </w:font>
  <w:font w:name="Courier">
    <w:altName w:val="Courier New"/>
    <w:panose1 w:val="02000500000000000000"/>
    <w:charset w:val="00"/>
    <w:family w:val="auto"/>
    <w:pitch w:val="default"/>
    <w:sig w:usb0="00000000" w:usb1="00000000" w:usb2="00000000" w:usb3="00000000" w:csb0="00000001" w:csb1="00000000"/>
  </w:font>
  <w:font w:name="Calibri Light">
    <w:panose1 w:val="020F0302020204030204"/>
    <w:charset w:val="00"/>
    <w:family w:val="auto"/>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ＭＳ 明朝">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 w:name="FZFangSong-Z02S">
    <w:panose1 w:val="02000000000000000000"/>
    <w:charset w:val="86"/>
    <w:family w:val="auto"/>
    <w:pitch w:val="default"/>
    <w:sig w:usb0="A00002BF" w:usb1="184F6CFA" w:usb2="00000012" w:usb3="00000000" w:csb0="00040001" w:csb1="00000000"/>
    <w:embedRegular r:id="rId5" w:fontKey="{C2D99653-8F05-49A2-9169-6DF17D3BE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B30AE">
    <w:pPr>
      <w:pStyle w:val="25"/>
    </w:pPr>
    <w:r>
      <w:rPr>
        <w:sz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367B4">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F2367B4">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7A56E">
    <w:pPr>
      <w:pStyle w:val="25"/>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0E800A">
                          <w:pPr>
                            <w:pStyle w:val="2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550E800A">
                    <w:pPr>
                      <w:pStyle w:val="2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8CA7B">
    <w:pPr>
      <w:pStyle w:val="25"/>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A7283">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99A7283">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E4A014"/>
    <w:multiLevelType w:val="singleLevel"/>
    <w:tmpl w:val="97E4A014"/>
    <w:lvl w:ilvl="0" w:tentative="0">
      <w:start w:val="1"/>
      <w:numFmt w:val="decimal"/>
      <w:suff w:val="space"/>
      <w:lvlText w:val="6.2.%1"/>
      <w:lvlJc w:val="left"/>
      <w:pPr>
        <w:ind w:left="0" w:firstLine="0"/>
      </w:pPr>
      <w:rPr>
        <w:rFonts w:hint="default"/>
      </w:rPr>
    </w:lvl>
  </w:abstractNum>
  <w:abstractNum w:abstractNumId="1">
    <w:nsid w:val="9CD9BCCC"/>
    <w:multiLevelType w:val="singleLevel"/>
    <w:tmpl w:val="9CD9BCCC"/>
    <w:lvl w:ilvl="0" w:tentative="0">
      <w:start w:val="1"/>
      <w:numFmt w:val="decimal"/>
      <w:suff w:val="space"/>
      <w:lvlText w:val="3.%1"/>
      <w:lvlJc w:val="left"/>
      <w:pPr>
        <w:ind w:left="0" w:firstLine="0"/>
      </w:pPr>
      <w:rPr>
        <w:rFonts w:hint="default"/>
      </w:rPr>
    </w:lvl>
  </w:abstractNum>
  <w:abstractNum w:abstractNumId="2">
    <w:nsid w:val="A009198B"/>
    <w:multiLevelType w:val="singleLevel"/>
    <w:tmpl w:val="A009198B"/>
    <w:lvl w:ilvl="0" w:tentative="0">
      <w:start w:val="1"/>
      <w:numFmt w:val="decimal"/>
      <w:suff w:val="space"/>
      <w:lvlText w:val="1.1.%1"/>
      <w:lvlJc w:val="left"/>
      <w:pPr>
        <w:ind w:left="0" w:firstLine="0"/>
      </w:pPr>
      <w:rPr>
        <w:rFonts w:hint="default"/>
      </w:rPr>
    </w:lvl>
  </w:abstractNum>
  <w:abstractNum w:abstractNumId="3">
    <w:nsid w:val="A8C344B7"/>
    <w:multiLevelType w:val="singleLevel"/>
    <w:tmpl w:val="A8C344B7"/>
    <w:lvl w:ilvl="0" w:tentative="0">
      <w:start w:val="1"/>
      <w:numFmt w:val="decimal"/>
      <w:suff w:val="space"/>
      <w:lvlText w:val="2.4.%1"/>
      <w:lvlJc w:val="left"/>
      <w:pPr>
        <w:ind w:left="0" w:firstLine="0"/>
      </w:pPr>
      <w:rPr>
        <w:rFonts w:hint="default"/>
      </w:rPr>
    </w:lvl>
  </w:abstractNum>
  <w:abstractNum w:abstractNumId="4">
    <w:nsid w:val="B1383510"/>
    <w:multiLevelType w:val="singleLevel"/>
    <w:tmpl w:val="B1383510"/>
    <w:lvl w:ilvl="0" w:tentative="0">
      <w:start w:val="1"/>
      <w:numFmt w:val="decimal"/>
      <w:suff w:val="space"/>
      <w:lvlText w:val="5.%1"/>
      <w:lvlJc w:val="left"/>
      <w:pPr>
        <w:ind w:left="0" w:firstLine="0"/>
      </w:pPr>
      <w:rPr>
        <w:rFonts w:hint="default"/>
      </w:rPr>
    </w:lvl>
  </w:abstractNum>
  <w:abstractNum w:abstractNumId="5">
    <w:nsid w:val="BF5A485A"/>
    <w:multiLevelType w:val="singleLevel"/>
    <w:tmpl w:val="BF5A485A"/>
    <w:lvl w:ilvl="0" w:tentative="0">
      <w:start w:val="1"/>
      <w:numFmt w:val="decimal"/>
      <w:suff w:val="space"/>
      <w:lvlText w:val="6.%1"/>
      <w:lvlJc w:val="left"/>
      <w:pPr>
        <w:ind w:left="0" w:firstLine="0"/>
      </w:pPr>
      <w:rPr>
        <w:rFonts w:hint="default"/>
      </w:rPr>
    </w:lvl>
  </w:abstractNum>
  <w:abstractNum w:abstractNumId="6">
    <w:nsid w:val="D0365834"/>
    <w:multiLevelType w:val="singleLevel"/>
    <w:tmpl w:val="D0365834"/>
    <w:lvl w:ilvl="0" w:tentative="0">
      <w:start w:val="1"/>
      <w:numFmt w:val="decimal"/>
      <w:suff w:val="nothing"/>
      <w:lvlText w:val="（%1）"/>
      <w:lvlJc w:val="left"/>
      <w:pPr>
        <w:ind w:left="0" w:firstLine="480"/>
      </w:pPr>
      <w:rPr>
        <w:rFonts w:hint="default"/>
      </w:rPr>
    </w:lvl>
  </w:abstractNum>
  <w:abstractNum w:abstractNumId="7">
    <w:nsid w:val="D54DAFDA"/>
    <w:multiLevelType w:val="singleLevel"/>
    <w:tmpl w:val="D54DAFDA"/>
    <w:lvl w:ilvl="0" w:tentative="0">
      <w:start w:val="1"/>
      <w:numFmt w:val="decimal"/>
      <w:suff w:val="space"/>
      <w:lvlText w:val="6.3.%1"/>
      <w:lvlJc w:val="left"/>
      <w:pPr>
        <w:ind w:left="0" w:firstLine="0"/>
      </w:pPr>
      <w:rPr>
        <w:rFonts w:hint="default"/>
      </w:rPr>
    </w:lvl>
  </w:abstractNum>
  <w:abstractNum w:abstractNumId="8">
    <w:nsid w:val="E3C16E61"/>
    <w:multiLevelType w:val="singleLevel"/>
    <w:tmpl w:val="E3C16E61"/>
    <w:lvl w:ilvl="0" w:tentative="0">
      <w:start w:val="1"/>
      <w:numFmt w:val="decimal"/>
      <w:suff w:val="space"/>
      <w:lvlText w:val="2.2.%1"/>
      <w:lvlJc w:val="left"/>
      <w:pPr>
        <w:ind w:left="0" w:firstLine="0"/>
      </w:pPr>
      <w:rPr>
        <w:rFonts w:hint="default"/>
      </w:rPr>
    </w:lvl>
  </w:abstractNum>
  <w:abstractNum w:abstractNumId="9">
    <w:nsid w:val="E55A2136"/>
    <w:multiLevelType w:val="singleLevel"/>
    <w:tmpl w:val="E55A2136"/>
    <w:lvl w:ilvl="0" w:tentative="0">
      <w:start w:val="1"/>
      <w:numFmt w:val="decimal"/>
      <w:suff w:val="space"/>
      <w:lvlText w:val="3.1.%1"/>
      <w:lvlJc w:val="left"/>
      <w:pPr>
        <w:ind w:left="0" w:firstLine="480"/>
      </w:pPr>
      <w:rPr>
        <w:rFonts w:hint="default"/>
      </w:rPr>
    </w:lvl>
  </w:abstractNum>
  <w:abstractNum w:abstractNumId="10">
    <w:nsid w:val="FD6B42C6"/>
    <w:multiLevelType w:val="singleLevel"/>
    <w:tmpl w:val="FD6B42C6"/>
    <w:lvl w:ilvl="0" w:tentative="0">
      <w:start w:val="1"/>
      <w:numFmt w:val="decimal"/>
      <w:suff w:val="space"/>
      <w:lvlText w:val="5.1.%1"/>
      <w:lvlJc w:val="left"/>
      <w:pPr>
        <w:ind w:left="0" w:firstLine="0"/>
      </w:pPr>
      <w:rPr>
        <w:rFonts w:hint="default"/>
      </w:rPr>
    </w:lvl>
  </w:abstractNum>
  <w:abstractNum w:abstractNumId="1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1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1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1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1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17">
    <w:nsid w:val="102F2FB7"/>
    <w:multiLevelType w:val="singleLevel"/>
    <w:tmpl w:val="102F2FB7"/>
    <w:lvl w:ilvl="0" w:tentative="0">
      <w:start w:val="2"/>
      <w:numFmt w:val="decimal"/>
      <w:suff w:val="space"/>
      <w:lvlText w:val="3.1.%1"/>
      <w:lvlJc w:val="left"/>
      <w:pPr>
        <w:ind w:left="0" w:firstLine="0"/>
      </w:pPr>
      <w:rPr>
        <w:rFonts w:hint="default"/>
      </w:rPr>
    </w:lvl>
  </w:abstractNum>
  <w:abstractNum w:abstractNumId="18">
    <w:nsid w:val="1F46C98B"/>
    <w:multiLevelType w:val="singleLevel"/>
    <w:tmpl w:val="1F46C98B"/>
    <w:lvl w:ilvl="0" w:tentative="0">
      <w:start w:val="1"/>
      <w:numFmt w:val="decimal"/>
      <w:suff w:val="space"/>
      <w:lvlText w:val="5.2.%1"/>
      <w:lvlJc w:val="left"/>
      <w:pPr>
        <w:ind w:left="0" w:firstLine="0"/>
      </w:pPr>
      <w:rPr>
        <w:rFonts w:hint="default"/>
      </w:rPr>
    </w:lvl>
  </w:abstractNum>
  <w:abstractNum w:abstractNumId="19">
    <w:nsid w:val="33D7BD1A"/>
    <w:multiLevelType w:val="singleLevel"/>
    <w:tmpl w:val="33D7BD1A"/>
    <w:lvl w:ilvl="0" w:tentative="0">
      <w:start w:val="1"/>
      <w:numFmt w:val="chineseCounting"/>
      <w:suff w:val="nothing"/>
      <w:lvlText w:val="第%1步，"/>
      <w:lvlJc w:val="left"/>
      <w:pPr>
        <w:ind w:left="0" w:firstLine="480"/>
      </w:pPr>
      <w:rPr>
        <w:rFonts w:hint="eastAsia"/>
      </w:rPr>
    </w:lvl>
  </w:abstractNum>
  <w:abstractNum w:abstractNumId="20">
    <w:nsid w:val="43D2B1F8"/>
    <w:multiLevelType w:val="singleLevel"/>
    <w:tmpl w:val="43D2B1F8"/>
    <w:lvl w:ilvl="0" w:tentative="0">
      <w:start w:val="1"/>
      <w:numFmt w:val="decimal"/>
      <w:suff w:val="space"/>
      <w:lvlText w:val="6.4.%1"/>
      <w:lvlJc w:val="left"/>
      <w:pPr>
        <w:ind w:left="0" w:firstLine="0"/>
      </w:pPr>
      <w:rPr>
        <w:rFonts w:hint="default"/>
      </w:rPr>
    </w:lvl>
  </w:abstractNum>
  <w:abstractNum w:abstractNumId="21">
    <w:nsid w:val="43E6EBD4"/>
    <w:multiLevelType w:val="singleLevel"/>
    <w:tmpl w:val="43E6EBD4"/>
    <w:lvl w:ilvl="0" w:tentative="0">
      <w:start w:val="1"/>
      <w:numFmt w:val="decimal"/>
      <w:suff w:val="space"/>
      <w:lvlText w:val="4.1.%1"/>
      <w:lvlJc w:val="left"/>
      <w:pPr>
        <w:ind w:left="0" w:firstLine="0"/>
      </w:pPr>
      <w:rPr>
        <w:rFonts w:hint="default"/>
      </w:rPr>
    </w:lvl>
  </w:abstractNum>
  <w:abstractNum w:abstractNumId="22">
    <w:nsid w:val="465FCAB7"/>
    <w:multiLevelType w:val="singleLevel"/>
    <w:tmpl w:val="465FCAB7"/>
    <w:lvl w:ilvl="0" w:tentative="0">
      <w:start w:val="1"/>
      <w:numFmt w:val="decimal"/>
      <w:suff w:val="space"/>
      <w:lvlText w:val="2.5.%1"/>
      <w:lvlJc w:val="left"/>
      <w:pPr>
        <w:ind w:left="0" w:firstLine="0"/>
      </w:pPr>
      <w:rPr>
        <w:rFonts w:hint="default"/>
      </w:rPr>
    </w:lvl>
  </w:abstractNum>
  <w:abstractNum w:abstractNumId="23">
    <w:nsid w:val="55BCB6BE"/>
    <w:multiLevelType w:val="singleLevel"/>
    <w:tmpl w:val="55BCB6BE"/>
    <w:lvl w:ilvl="0" w:tentative="0">
      <w:start w:val="1"/>
      <w:numFmt w:val="decimal"/>
      <w:suff w:val="space"/>
      <w:lvlText w:val="1.%1"/>
      <w:lvlJc w:val="left"/>
      <w:pPr>
        <w:ind w:left="0" w:firstLine="0"/>
      </w:pPr>
      <w:rPr>
        <w:rFonts w:hint="default"/>
      </w:rPr>
    </w:lvl>
  </w:abstractNum>
  <w:abstractNum w:abstractNumId="24">
    <w:nsid w:val="59B7F295"/>
    <w:multiLevelType w:val="singleLevel"/>
    <w:tmpl w:val="59B7F295"/>
    <w:lvl w:ilvl="0" w:tentative="0">
      <w:start w:val="1"/>
      <w:numFmt w:val="decimal"/>
      <w:suff w:val="space"/>
      <w:lvlText w:val="6.1.%1"/>
      <w:lvlJc w:val="left"/>
      <w:pPr>
        <w:ind w:left="0" w:firstLine="0"/>
      </w:pPr>
      <w:rPr>
        <w:rFonts w:hint="default"/>
      </w:rPr>
    </w:lvl>
  </w:abstractNum>
  <w:abstractNum w:abstractNumId="25">
    <w:nsid w:val="59F1EA27"/>
    <w:multiLevelType w:val="singleLevel"/>
    <w:tmpl w:val="59F1EA27"/>
    <w:lvl w:ilvl="0" w:tentative="0">
      <w:start w:val="1"/>
      <w:numFmt w:val="decimal"/>
      <w:suff w:val="space"/>
      <w:lvlText w:val="2.1.%1"/>
      <w:lvlJc w:val="left"/>
      <w:pPr>
        <w:ind w:left="0" w:firstLine="0"/>
      </w:pPr>
      <w:rPr>
        <w:rFonts w:hint="default"/>
      </w:rPr>
    </w:lvl>
  </w:abstractNum>
  <w:abstractNum w:abstractNumId="26">
    <w:nsid w:val="63CBD052"/>
    <w:multiLevelType w:val="singleLevel"/>
    <w:tmpl w:val="63CBD052"/>
    <w:lvl w:ilvl="0" w:tentative="0">
      <w:start w:val="1"/>
      <w:numFmt w:val="decimal"/>
      <w:suff w:val="space"/>
      <w:lvlText w:val="5.3.%1"/>
      <w:lvlJc w:val="left"/>
      <w:pPr>
        <w:ind w:left="0" w:firstLine="0"/>
      </w:pPr>
      <w:rPr>
        <w:rFonts w:hint="default"/>
      </w:rPr>
    </w:lvl>
  </w:abstractNum>
  <w:abstractNum w:abstractNumId="27">
    <w:nsid w:val="725A12CD"/>
    <w:multiLevelType w:val="singleLevel"/>
    <w:tmpl w:val="725A12CD"/>
    <w:lvl w:ilvl="0" w:tentative="0">
      <w:start w:val="1"/>
      <w:numFmt w:val="decimal"/>
      <w:suff w:val="space"/>
      <w:lvlText w:val="2.%1"/>
      <w:lvlJc w:val="left"/>
      <w:pPr>
        <w:ind w:left="0" w:firstLine="0"/>
      </w:pPr>
      <w:rPr>
        <w:rFonts w:hint="default"/>
      </w:rPr>
    </w:lvl>
  </w:abstractNum>
  <w:abstractNum w:abstractNumId="28">
    <w:nsid w:val="7B4B6EBE"/>
    <w:multiLevelType w:val="singleLevel"/>
    <w:tmpl w:val="7B4B6EBE"/>
    <w:lvl w:ilvl="0" w:tentative="0">
      <w:start w:val="1"/>
      <w:numFmt w:val="decimal"/>
      <w:suff w:val="space"/>
      <w:lvlText w:val="2.3.%1"/>
      <w:lvlJc w:val="left"/>
      <w:pPr>
        <w:ind w:left="0" w:firstLine="0"/>
      </w:pPr>
      <w:rPr>
        <w:rFonts w:hint="default"/>
      </w:rPr>
    </w:lvl>
  </w:abstractNum>
  <w:abstractNum w:abstractNumId="29">
    <w:nsid w:val="7CB30C0E"/>
    <w:multiLevelType w:val="singleLevel"/>
    <w:tmpl w:val="7CB30C0E"/>
    <w:lvl w:ilvl="0" w:tentative="0">
      <w:start w:val="1"/>
      <w:numFmt w:val="decimal"/>
      <w:suff w:val="space"/>
      <w:lvlText w:val="5.4.%1"/>
      <w:lvlJc w:val="left"/>
      <w:pPr>
        <w:ind w:left="0" w:firstLine="0"/>
      </w:pPr>
      <w:rPr>
        <w:rFonts w:hint="default"/>
      </w:rPr>
    </w:lvl>
  </w:abstractNum>
  <w:num w:numId="1">
    <w:abstractNumId w:val="12"/>
  </w:num>
  <w:num w:numId="2">
    <w:abstractNumId w:val="15"/>
  </w:num>
  <w:num w:numId="3">
    <w:abstractNumId w:val="16"/>
  </w:num>
  <w:num w:numId="4">
    <w:abstractNumId w:val="13"/>
  </w:num>
  <w:num w:numId="5">
    <w:abstractNumId w:val="11"/>
  </w:num>
  <w:num w:numId="6">
    <w:abstractNumId w:val="14"/>
  </w:num>
  <w:num w:numId="7">
    <w:abstractNumId w:val="23"/>
  </w:num>
  <w:num w:numId="8">
    <w:abstractNumId w:val="2"/>
  </w:num>
  <w:num w:numId="9">
    <w:abstractNumId w:val="27"/>
  </w:num>
  <w:num w:numId="10">
    <w:abstractNumId w:val="25"/>
  </w:num>
  <w:num w:numId="11">
    <w:abstractNumId w:val="8"/>
  </w:num>
  <w:num w:numId="12">
    <w:abstractNumId w:val="28"/>
  </w:num>
  <w:num w:numId="13">
    <w:abstractNumId w:val="3"/>
  </w:num>
  <w:num w:numId="14">
    <w:abstractNumId w:val="22"/>
  </w:num>
  <w:num w:numId="15">
    <w:abstractNumId w:val="1"/>
  </w:num>
  <w:num w:numId="16">
    <w:abstractNumId w:val="9"/>
  </w:num>
  <w:num w:numId="17">
    <w:abstractNumId w:val="17"/>
  </w:num>
  <w:num w:numId="18">
    <w:abstractNumId w:val="21"/>
  </w:num>
  <w:num w:numId="19">
    <w:abstractNumId w:val="4"/>
  </w:num>
  <w:num w:numId="20">
    <w:abstractNumId w:val="10"/>
  </w:num>
  <w:num w:numId="21">
    <w:abstractNumId w:val="18"/>
  </w:num>
  <w:num w:numId="22">
    <w:abstractNumId w:val="6"/>
  </w:num>
  <w:num w:numId="23">
    <w:abstractNumId w:val="19"/>
  </w:num>
  <w:num w:numId="24">
    <w:abstractNumId w:val="26"/>
  </w:num>
  <w:num w:numId="25">
    <w:abstractNumId w:val="29"/>
  </w:num>
  <w:num w:numId="26">
    <w:abstractNumId w:val="5"/>
  </w:num>
  <w:num w:numId="27">
    <w:abstractNumId w:val="24"/>
  </w:num>
  <w:num w:numId="28">
    <w:abstractNumId w:val="0"/>
  </w:num>
  <w:num w:numId="29">
    <w:abstractNumId w:val="7"/>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9DC4789"/>
    <w:rsid w:val="0EF4061E"/>
    <w:rsid w:val="1CFF6D16"/>
    <w:rsid w:val="1E114557"/>
    <w:rsid w:val="1F914EF8"/>
    <w:rsid w:val="35BC3673"/>
    <w:rsid w:val="53656BCB"/>
    <w:rsid w:val="54E81862"/>
    <w:rsid w:val="5A9C7376"/>
    <w:rsid w:val="5E9D190F"/>
    <w:rsid w:val="61400D71"/>
    <w:rsid w:val="64431EF4"/>
    <w:rsid w:val="6A5A6906"/>
    <w:rsid w:val="6AFB1CD9"/>
    <w:rsid w:val="748C2BBA"/>
    <w:rsid w:val="75F03AD8"/>
    <w:rsid w:val="7A79515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3">
    <w:name w:val="heading 1"/>
    <w:next w:val="1"/>
    <w:link w:val="143"/>
    <w:qFormat/>
    <w:uiPriority w:val="9"/>
    <w:pPr>
      <w:widowControl w:val="0"/>
      <w:adjustRightInd w:val="0"/>
      <w:spacing w:before="320" w:line="300" w:lineRule="auto"/>
      <w:jc w:val="both"/>
      <w:outlineLvl w:val="0"/>
    </w:pPr>
    <w:rPr>
      <w:rFonts w:ascii="Times New Roman" w:hAnsi="Times New Roman" w:eastAsia="SimHei" w:cs="Times New Roman"/>
      <w:color w:val="000000"/>
      <w:kern w:val="44"/>
      <w:sz w:val="32"/>
      <w:szCs w:val="44"/>
      <w:lang w:bidi="ar-SA"/>
    </w:rPr>
  </w:style>
  <w:style w:type="paragraph" w:styleId="4">
    <w:name w:val="heading 2"/>
    <w:next w:val="1"/>
    <w:unhideWhenUsed/>
    <w:qFormat/>
    <w:uiPriority w:val="9"/>
    <w:pPr>
      <w:widowControl w:val="0"/>
      <w:adjustRightInd w:val="0"/>
      <w:spacing w:before="280" w:line="300" w:lineRule="auto"/>
      <w:jc w:val="both"/>
      <w:outlineLvl w:val="1"/>
    </w:pPr>
    <w:rPr>
      <w:rFonts w:ascii="Times New Roman" w:hAnsi="Times New Roman" w:eastAsia="SimHei" w:cs="Times New Roman"/>
      <w:kern w:val="2"/>
      <w:sz w:val="30"/>
      <w:szCs w:val="32"/>
      <w:lang w:bidi="ar-SA"/>
    </w:rPr>
  </w:style>
  <w:style w:type="paragraph" w:styleId="5">
    <w:name w:val="heading 3"/>
    <w:next w:val="1"/>
    <w:unhideWhenUsed/>
    <w:qFormat/>
    <w:uiPriority w:val="9"/>
    <w:pPr>
      <w:keepNext/>
      <w:keepLines/>
      <w:widowControl w:val="0"/>
      <w:adjustRightInd w:val="0"/>
      <w:spacing w:before="240" w:line="300" w:lineRule="auto"/>
      <w:jc w:val="both"/>
      <w:outlineLvl w:val="2"/>
    </w:pPr>
    <w:rPr>
      <w:rFonts w:ascii="Times New Roman" w:hAnsi="Times New Roman" w:eastAsia="SimHei" w:cs="Times New Roman"/>
      <w:kern w:val="2"/>
      <w:sz w:val="30"/>
      <w:szCs w:val="24"/>
      <w:lang w:bidi="ar-SA"/>
    </w:rPr>
  </w:style>
  <w:style w:type="paragraph" w:styleId="6">
    <w:name w:val="heading 4"/>
    <w:next w:val="1"/>
    <w:link w:val="155"/>
    <w:semiHidden/>
    <w:unhideWhenUsed/>
    <w:qFormat/>
    <w:uiPriority w:val="9"/>
    <w:pPr>
      <w:keepNext/>
      <w:keepLines/>
      <w:widowControl w:val="0"/>
      <w:adjustRightInd w:val="0"/>
      <w:spacing w:before="200" w:line="300" w:lineRule="auto"/>
      <w:jc w:val="both"/>
      <w:outlineLvl w:val="3"/>
    </w:pPr>
    <w:rPr>
      <w:rFonts w:ascii="Times New Roman" w:hAnsi="Times New Roman" w:eastAsia="SimHei" w:cs="Times New Roman"/>
      <w:bCs/>
      <w:kern w:val="2"/>
      <w:sz w:val="28"/>
      <w:szCs w:val="28"/>
      <w:lang w:bidi="ar-SA"/>
    </w:rPr>
  </w:style>
  <w:style w:type="paragraph" w:styleId="7">
    <w:name w:val="heading 5"/>
    <w:next w:val="1"/>
    <w:link w:val="156"/>
    <w:semiHidden/>
    <w:unhideWhenUsed/>
    <w:qFormat/>
    <w:uiPriority w:val="9"/>
    <w:pPr>
      <w:keepNext/>
      <w:keepLines/>
      <w:widowControl w:val="0"/>
      <w:adjustRightInd w:val="0"/>
      <w:spacing w:before="160" w:line="300" w:lineRule="auto"/>
      <w:jc w:val="both"/>
      <w:outlineLvl w:val="4"/>
    </w:pPr>
    <w:rPr>
      <w:rFonts w:ascii="Times New Roman" w:hAnsi="Times New Roman" w:eastAsia="SimHei" w:cs="Times New Roman"/>
      <w:bCs/>
      <w:kern w:val="2"/>
      <w:sz w:val="28"/>
      <w:szCs w:val="28"/>
      <w:lang w:bidi="ar-SA"/>
    </w:rPr>
  </w:style>
  <w:style w:type="paragraph" w:styleId="8">
    <w:name w:val="heading 6"/>
    <w:next w:val="1"/>
    <w:link w:val="157"/>
    <w:semiHidden/>
    <w:unhideWhenUsed/>
    <w:qFormat/>
    <w:uiPriority w:val="9"/>
    <w:pPr>
      <w:keepNext/>
      <w:keepLines/>
      <w:widowControl w:val="0"/>
      <w:adjustRightInd w:val="0"/>
      <w:spacing w:before="120" w:line="300" w:lineRule="auto"/>
      <w:jc w:val="both"/>
      <w:outlineLvl w:val="5"/>
    </w:pPr>
    <w:rPr>
      <w:rFonts w:ascii="Times New Roman" w:hAnsi="Times New Roman" w:eastAsia="SimHei" w:cs="Times New Roman"/>
      <w:bCs/>
      <w:kern w:val="2"/>
      <w:sz w:val="28"/>
      <w:szCs w:val="24"/>
      <w:lang w:bidi="ar-SA"/>
    </w:rPr>
  </w:style>
  <w:style w:type="paragraph" w:styleId="9">
    <w:name w:val="heading 7"/>
    <w:next w:val="1"/>
    <w:link w:val="158"/>
    <w:semiHidden/>
    <w:unhideWhenUsed/>
    <w:qFormat/>
    <w:uiPriority w:val="9"/>
    <w:pPr>
      <w:keepNext/>
      <w:keepLines/>
      <w:widowControl w:val="0"/>
      <w:adjustRightInd w:val="0"/>
      <w:spacing w:before="120" w:line="300" w:lineRule="auto"/>
      <w:jc w:val="both"/>
      <w:outlineLvl w:val="6"/>
    </w:pPr>
    <w:rPr>
      <w:rFonts w:ascii="Times New Roman" w:hAnsi="Times New Roman" w:eastAsia="SimHei" w:cs="Times New Roman"/>
      <w:bCs/>
      <w:kern w:val="2"/>
      <w:sz w:val="24"/>
      <w:szCs w:val="24"/>
      <w:lang w:bidi="ar-SA"/>
    </w:rPr>
  </w:style>
  <w:style w:type="paragraph" w:styleId="10">
    <w:name w:val="heading 8"/>
    <w:next w:val="1"/>
    <w:link w:val="159"/>
    <w:semiHidden/>
    <w:unhideWhenUsed/>
    <w:qFormat/>
    <w:uiPriority w:val="9"/>
    <w:pPr>
      <w:keepNext/>
      <w:keepLines/>
      <w:widowControl w:val="0"/>
      <w:adjustRightInd w:val="0"/>
      <w:spacing w:before="120" w:line="300" w:lineRule="auto"/>
      <w:jc w:val="both"/>
      <w:outlineLvl w:val="7"/>
    </w:pPr>
    <w:rPr>
      <w:rFonts w:ascii="Times New Roman" w:hAnsi="Times New Roman" w:eastAsia="SimHei" w:cs="Times New Roman"/>
      <w:kern w:val="2"/>
      <w:sz w:val="24"/>
      <w:szCs w:val="24"/>
      <w:lang w:bidi="ar-SA"/>
    </w:rPr>
  </w:style>
  <w:style w:type="paragraph" w:styleId="11">
    <w:name w:val="heading 9"/>
    <w:next w:val="1"/>
    <w:link w:val="160"/>
    <w:semiHidden/>
    <w:unhideWhenUsed/>
    <w:qFormat/>
    <w:uiPriority w:val="9"/>
    <w:pPr>
      <w:keepNext/>
      <w:keepLines/>
      <w:widowControl w:val="0"/>
      <w:adjustRightInd w:val="0"/>
      <w:spacing w:before="120" w:line="300" w:lineRule="auto"/>
      <w:jc w:val="both"/>
      <w:outlineLvl w:val="8"/>
    </w:pPr>
    <w:rPr>
      <w:rFonts w:ascii="Times New Roman" w:hAnsi="Times New Roman" w:eastAsia="SimHei" w:cs="Times New Roman"/>
      <w:kern w:val="2"/>
      <w:sz w:val="21"/>
      <w:szCs w:val="21"/>
      <w:lang w:bidi="ar-SA"/>
    </w:rPr>
  </w:style>
  <w:style w:type="character" w:default="1" w:styleId="144">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macro"/>
    <w:link w:val="152"/>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874CB"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51"/>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unhideWhenUsed/>
    <w:qFormat/>
    <w:uiPriority w:val="99"/>
    <w:pPr>
      <w:widowControl w:val="0"/>
      <w:adjustRightInd w:val="0"/>
      <w:spacing w:before="100" w:after="100" w:afterLines="0" w:afterAutospacing="0" w:line="300" w:lineRule="auto"/>
      <w:ind w:firstLine="1044" w:firstLineChars="200"/>
      <w:jc w:val="both"/>
    </w:pPr>
    <w:rPr>
      <w:rFonts w:ascii="Times New Roman" w:hAnsi="Times New Roman" w:eastAsia="SimSun" w:cs="Times New Roman"/>
      <w:kern w:val="2"/>
      <w:sz w:val="24"/>
      <w:szCs w:val="24"/>
      <w:lang w:bidi="ar-SA"/>
    </w:r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toc 3"/>
    <w:basedOn w:val="1"/>
    <w:next w:val="1"/>
    <w:semiHidden/>
    <w:unhideWhenUsed/>
    <w:uiPriority w:val="39"/>
    <w:pPr>
      <w:ind w:left="840" w:leftChars="400"/>
    </w:pPr>
  </w:style>
  <w:style w:type="paragraph" w:styleId="25">
    <w:name w:val="footer"/>
    <w:basedOn w:val="1"/>
    <w:link w:val="141"/>
    <w:unhideWhenUsed/>
    <w:qFormat/>
    <w:uiPriority w:val="99"/>
    <w:pPr>
      <w:tabs>
        <w:tab w:val="center" w:pos="4680"/>
        <w:tab w:val="right" w:pos="9360"/>
      </w:tabs>
      <w:spacing w:after="0" w:line="240" w:lineRule="auto"/>
    </w:pPr>
  </w:style>
  <w:style w:type="paragraph" w:styleId="26">
    <w:name w:val="header"/>
    <w:basedOn w:val="1"/>
    <w:link w:val="140"/>
    <w:unhideWhenUsed/>
    <w:qFormat/>
    <w:uiPriority w:val="99"/>
    <w:pPr>
      <w:tabs>
        <w:tab w:val="center" w:pos="4680"/>
        <w:tab w:val="right" w:pos="9360"/>
      </w:tabs>
      <w:spacing w:after="0" w:line="240" w:lineRule="auto"/>
    </w:pPr>
  </w:style>
  <w:style w:type="paragraph" w:styleId="27">
    <w:name w:val="toc 1"/>
    <w:basedOn w:val="1"/>
    <w:next w:val="1"/>
    <w:semiHidden/>
    <w:unhideWhenUsed/>
    <w:uiPriority w:val="39"/>
    <w:pPr>
      <w:spacing w:line="360" w:lineRule="auto"/>
    </w:pPr>
    <w:rPr>
      <w:rFonts w:ascii="Arial" w:hAnsi="Arial" w:cs="Arial" w:eastAsiaTheme="minorEastAsia"/>
      <w:snapToGrid w:val="0"/>
      <w:color w:val="000000"/>
      <w:sz w:val="24"/>
      <w:szCs w:val="21"/>
    </w:rPr>
  </w:style>
  <w:style w:type="paragraph" w:styleId="28">
    <w:name w:val="Subtitle"/>
    <w:next w:val="1"/>
    <w:qFormat/>
    <w:uiPriority w:val="11"/>
    <w:pPr>
      <w:widowControl w:val="0"/>
      <w:adjustRightInd w:val="0"/>
      <w:spacing w:before="100" w:after="100" w:line="240" w:lineRule="auto"/>
      <w:jc w:val="center"/>
      <w:outlineLvl w:val="9"/>
    </w:pPr>
    <w:rPr>
      <w:rFonts w:ascii="Times New Roman" w:hAnsi="Times New Roman" w:eastAsia="SimHei" w:cs="Times New Roman"/>
      <w:kern w:val="28"/>
      <w:sz w:val="32"/>
      <w:szCs w:val="24"/>
      <w:lang w:bidi="ar-SA"/>
    </w:rPr>
  </w:style>
  <w:style w:type="paragraph" w:styleId="29">
    <w:name w:val="List"/>
    <w:basedOn w:val="1"/>
    <w:unhideWhenUsed/>
    <w:qFormat/>
    <w:uiPriority w:val="99"/>
    <w:pPr>
      <w:ind w:left="360" w:hanging="360"/>
      <w:contextualSpacing/>
    </w:pPr>
  </w:style>
  <w:style w:type="paragraph" w:styleId="30">
    <w:name w:val="toc 2"/>
    <w:basedOn w:val="1"/>
    <w:next w:val="1"/>
    <w:semiHidden/>
    <w:unhideWhenUsed/>
    <w:uiPriority w:val="39"/>
    <w:pPr>
      <w:ind w:left="420" w:leftChars="200"/>
    </w:pPr>
  </w:style>
  <w:style w:type="paragraph" w:styleId="31">
    <w:name w:val="Body Text 2"/>
    <w:basedOn w:val="1"/>
    <w:link w:val="150"/>
    <w:unhideWhenUsed/>
    <w:qFormat/>
    <w:uiPriority w:val="99"/>
    <w:pPr>
      <w:spacing w:after="120" w:line="480" w:lineRule="auto"/>
    </w:pPr>
  </w:style>
  <w:style w:type="paragraph" w:styleId="32">
    <w:name w:val="List Continue 2"/>
    <w:basedOn w:val="1"/>
    <w:unhideWhenUsed/>
    <w:qFormat/>
    <w:uiPriority w:val="99"/>
    <w:pPr>
      <w:spacing w:after="120"/>
      <w:ind w:left="720"/>
      <w:contextualSpacing/>
    </w:pPr>
  </w:style>
  <w:style w:type="paragraph" w:styleId="33">
    <w:name w:val="List Continue 3"/>
    <w:basedOn w:val="1"/>
    <w:unhideWhenUsed/>
    <w:qFormat/>
    <w:uiPriority w:val="99"/>
    <w:pPr>
      <w:spacing w:after="120"/>
      <w:ind w:left="1080"/>
      <w:contextualSpacing/>
    </w:pPr>
  </w:style>
  <w:style w:type="paragraph" w:styleId="34">
    <w:name w:val="Title"/>
    <w:next w:val="1"/>
    <w:qFormat/>
    <w:uiPriority w:val="10"/>
    <w:pPr>
      <w:widowControl w:val="0"/>
      <w:adjustRightInd w:val="0"/>
      <w:spacing w:before="100" w:beforeAutospacing="0" w:after="100" w:afterAutospacing="0" w:line="240" w:lineRule="auto"/>
      <w:jc w:val="center"/>
      <w:outlineLvl w:val="9"/>
    </w:pPr>
    <w:rPr>
      <w:rFonts w:ascii="Times New Roman" w:hAnsi="Times New Roman" w:eastAsia="SimHei" w:cs="Times New Roman"/>
      <w:kern w:val="2"/>
      <w:sz w:val="36"/>
      <w:szCs w:val="24"/>
      <w:lang w:bidi="ar-SA"/>
    </w:rPr>
  </w:style>
  <w:style w:type="table" w:styleId="36">
    <w:name w:val="Table Grid"/>
    <w:basedOn w:val="3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7">
    <w:name w:val="Light Shading"/>
    <w:basedOn w:val="35"/>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8">
    <w:name w:val="Light Shading Accent 1"/>
    <w:basedOn w:val="35"/>
    <w:qFormat/>
    <w:uiPriority w:val="60"/>
    <w:pPr>
      <w:spacing w:after="0" w:line="240" w:lineRule="auto"/>
    </w:pPr>
    <w:rPr>
      <w:color w:val="2E54A1" w:themeColor="accent1" w:themeShade="BF"/>
    </w:rPr>
    <w:tblPr>
      <w:tblBorders>
        <w:top w:val="single" w:color="4874CB" w:themeColor="accent1" w:sz="8" w:space="0"/>
        <w:bottom w:val="single" w:color="4874CB"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874CB" w:themeColor="accent1" w:sz="8" w:space="0"/>
          <w:left w:val="nil"/>
          <w:bottom w:val="single" w:color="4874CB" w:themeColor="accent1" w:sz="8" w:space="0"/>
          <w:right w:val="nil"/>
          <w:insideH w:val="nil"/>
          <w:insideV w:val="nil"/>
        </w:tcBorders>
      </w:tcPr>
    </w:tblStylePr>
    <w:tblStylePr w:type="lastRow">
      <w:pPr>
        <w:spacing w:before="0" w:after="0" w:line="240" w:lineRule="auto"/>
      </w:pPr>
      <w:rPr>
        <w:b/>
        <w:bCs/>
      </w:rPr>
      <w:tblPr/>
      <w:tcPr>
        <w:tcBorders>
          <w:top w:val="single" w:color="4874CB" w:themeColor="accent1" w:sz="8" w:space="0"/>
          <w:left w:val="nil"/>
          <w:bottom w:val="single" w:color="4874CB"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CF2" w:themeFill="accent1" w:themeFillTint="3F"/>
      </w:tcPr>
    </w:tblStylePr>
    <w:tblStylePr w:type="band1Horz">
      <w:tblPr/>
      <w:tcPr>
        <w:tcBorders>
          <w:left w:val="nil"/>
          <w:right w:val="nil"/>
          <w:insideH w:val="nil"/>
          <w:insideV w:val="nil"/>
        </w:tcBorders>
        <w:shd w:val="clear" w:color="auto" w:fill="D1DCF2" w:themeFill="accent1" w:themeFillTint="3F"/>
      </w:tcPr>
    </w:tblStylePr>
  </w:style>
  <w:style w:type="table" w:styleId="39">
    <w:name w:val="Light Shading Accent 2"/>
    <w:basedOn w:val="35"/>
    <w:qFormat/>
    <w:uiPriority w:val="60"/>
    <w:pPr>
      <w:spacing w:after="0" w:line="240" w:lineRule="auto"/>
    </w:pPr>
    <w:rPr>
      <w:color w:val="C65F10" w:themeColor="accent2" w:themeShade="BF"/>
    </w:rPr>
    <w:tblPr>
      <w:tblBorders>
        <w:top w:val="single" w:color="EE822F" w:themeColor="accent2" w:sz="8" w:space="0"/>
        <w:bottom w:val="single" w:color="EE822F"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E822F" w:themeColor="accent2" w:sz="8" w:space="0"/>
          <w:left w:val="nil"/>
          <w:bottom w:val="single" w:color="EE822F" w:themeColor="accent2" w:sz="8" w:space="0"/>
          <w:right w:val="nil"/>
          <w:insideH w:val="nil"/>
          <w:insideV w:val="nil"/>
        </w:tcBorders>
      </w:tcPr>
    </w:tblStylePr>
    <w:tblStylePr w:type="lastRow">
      <w:pPr>
        <w:spacing w:before="0" w:after="0" w:line="240" w:lineRule="auto"/>
      </w:pPr>
      <w:rPr>
        <w:b/>
        <w:bCs/>
      </w:rPr>
      <w:tblPr/>
      <w:tcPr>
        <w:tcBorders>
          <w:top w:val="single" w:color="EE822F" w:themeColor="accent2" w:sz="8" w:space="0"/>
          <w:left w:val="nil"/>
          <w:bottom w:val="single" w:color="EE822F"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0CB" w:themeFill="accent2" w:themeFillTint="3F"/>
      </w:tcPr>
    </w:tblStylePr>
    <w:tblStylePr w:type="band1Horz">
      <w:tblPr/>
      <w:tcPr>
        <w:tcBorders>
          <w:left w:val="nil"/>
          <w:right w:val="nil"/>
          <w:insideH w:val="nil"/>
          <w:insideV w:val="nil"/>
        </w:tcBorders>
        <w:shd w:val="clear" w:color="auto" w:fill="FAE0CB" w:themeFill="accent2" w:themeFillTint="3F"/>
      </w:tcPr>
    </w:tblStylePr>
  </w:style>
  <w:style w:type="table" w:styleId="40">
    <w:name w:val="Light Shading Accent 3"/>
    <w:basedOn w:val="35"/>
    <w:qFormat/>
    <w:uiPriority w:val="60"/>
    <w:pPr>
      <w:spacing w:after="0" w:line="240" w:lineRule="auto"/>
    </w:pPr>
    <w:rPr>
      <w:color w:val="B68C02" w:themeColor="accent3" w:themeShade="BF"/>
    </w:rPr>
    <w:tblPr>
      <w:tblBorders>
        <w:top w:val="single" w:color="F2BA02" w:themeColor="accent3" w:sz="8" w:space="0"/>
        <w:bottom w:val="single" w:color="F2BA02"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2BA02" w:themeColor="accent3" w:sz="8" w:space="0"/>
          <w:left w:val="nil"/>
          <w:bottom w:val="single" w:color="F2BA02" w:themeColor="accent3" w:sz="8" w:space="0"/>
          <w:right w:val="nil"/>
          <w:insideH w:val="nil"/>
          <w:insideV w:val="nil"/>
        </w:tcBorders>
      </w:tcPr>
    </w:tblStylePr>
    <w:tblStylePr w:type="lastRow">
      <w:pPr>
        <w:spacing w:before="0" w:after="0" w:line="240" w:lineRule="auto"/>
      </w:pPr>
      <w:rPr>
        <w:b/>
        <w:bCs/>
      </w:rPr>
      <w:tblPr/>
      <w:tcPr>
        <w:tcBorders>
          <w:top w:val="single" w:color="F2BA02" w:themeColor="accent3" w:sz="8" w:space="0"/>
          <w:left w:val="nil"/>
          <w:bottom w:val="single" w:color="F2BA02"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FBD" w:themeFill="accent3" w:themeFillTint="3F"/>
      </w:tcPr>
    </w:tblStylePr>
    <w:tblStylePr w:type="band1Horz">
      <w:tblPr/>
      <w:tcPr>
        <w:tcBorders>
          <w:left w:val="nil"/>
          <w:right w:val="nil"/>
          <w:insideH w:val="nil"/>
          <w:insideV w:val="nil"/>
        </w:tcBorders>
        <w:shd w:val="clear" w:color="auto" w:fill="FEEFBD" w:themeFill="accent3" w:themeFillTint="3F"/>
      </w:tcPr>
    </w:tblStylePr>
  </w:style>
  <w:style w:type="table" w:styleId="41">
    <w:name w:val="Light Shading Accent 4"/>
    <w:basedOn w:val="35"/>
    <w:qFormat/>
    <w:uiPriority w:val="60"/>
    <w:pPr>
      <w:spacing w:after="0" w:line="240" w:lineRule="auto"/>
    </w:pPr>
    <w:rPr>
      <w:color w:val="588E32" w:themeColor="accent4" w:themeShade="BF"/>
    </w:rPr>
    <w:tblPr>
      <w:tblBorders>
        <w:top w:val="single" w:color="75BD42" w:themeColor="accent4" w:sz="8" w:space="0"/>
        <w:bottom w:val="single" w:color="75BD4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75BD42" w:themeColor="accent4" w:sz="8" w:space="0"/>
          <w:left w:val="nil"/>
          <w:bottom w:val="single" w:color="75BD42" w:themeColor="accent4" w:sz="8" w:space="0"/>
          <w:right w:val="nil"/>
          <w:insideH w:val="nil"/>
          <w:insideV w:val="nil"/>
        </w:tcBorders>
      </w:tcPr>
    </w:tblStylePr>
    <w:tblStylePr w:type="lastRow">
      <w:pPr>
        <w:spacing w:before="0" w:after="0" w:line="240" w:lineRule="auto"/>
      </w:pPr>
      <w:rPr>
        <w:b/>
        <w:bCs/>
      </w:rPr>
      <w:tblPr/>
      <w:tcPr>
        <w:tcBorders>
          <w:top w:val="single" w:color="75BD42" w:themeColor="accent4" w:sz="8" w:space="0"/>
          <w:left w:val="nil"/>
          <w:bottom w:val="single" w:color="75BD4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D0" w:themeFill="accent4" w:themeFillTint="3F"/>
      </w:tcPr>
    </w:tblStylePr>
    <w:tblStylePr w:type="band1Horz">
      <w:tblPr/>
      <w:tcPr>
        <w:tcBorders>
          <w:left w:val="nil"/>
          <w:right w:val="nil"/>
          <w:insideH w:val="nil"/>
          <w:insideV w:val="nil"/>
        </w:tcBorders>
        <w:shd w:val="clear" w:color="auto" w:fill="DCEED0" w:themeFill="accent4" w:themeFillTint="3F"/>
      </w:tcPr>
    </w:tblStylePr>
  </w:style>
  <w:style w:type="table" w:styleId="42">
    <w:name w:val="Light Shading Accent 5"/>
    <w:basedOn w:val="35"/>
    <w:qFormat/>
    <w:uiPriority w:val="60"/>
    <w:pPr>
      <w:spacing w:after="0" w:line="240" w:lineRule="auto"/>
    </w:pPr>
    <w:rPr>
      <w:color w:val="249087" w:themeColor="accent5" w:themeShade="BF"/>
    </w:rPr>
    <w:tblPr>
      <w:tblBorders>
        <w:top w:val="single" w:color="30C0B4" w:themeColor="accent5" w:sz="8" w:space="0"/>
        <w:bottom w:val="single" w:color="30C0B4"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30C0B4" w:themeColor="accent5" w:sz="8" w:space="0"/>
          <w:left w:val="nil"/>
          <w:bottom w:val="single" w:color="30C0B4" w:themeColor="accent5" w:sz="8" w:space="0"/>
          <w:right w:val="nil"/>
          <w:insideH w:val="nil"/>
          <w:insideV w:val="nil"/>
        </w:tcBorders>
      </w:tcPr>
    </w:tblStylePr>
    <w:tblStylePr w:type="lastRow">
      <w:pPr>
        <w:spacing w:before="0" w:after="0" w:line="240" w:lineRule="auto"/>
      </w:pPr>
      <w:rPr>
        <w:b/>
        <w:bCs/>
      </w:rPr>
      <w:tblPr/>
      <w:tcPr>
        <w:tcBorders>
          <w:top w:val="single" w:color="30C0B4" w:themeColor="accent5" w:sz="8" w:space="0"/>
          <w:left w:val="nil"/>
          <w:bottom w:val="single" w:color="30C0B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1EE" w:themeFill="accent5" w:themeFillTint="3F"/>
      </w:tcPr>
    </w:tblStylePr>
    <w:tblStylePr w:type="band1Horz">
      <w:tblPr/>
      <w:tcPr>
        <w:tcBorders>
          <w:left w:val="nil"/>
          <w:right w:val="nil"/>
          <w:insideH w:val="nil"/>
          <w:insideV w:val="nil"/>
        </w:tcBorders>
        <w:shd w:val="clear" w:color="auto" w:fill="C9F1EE" w:themeFill="accent5" w:themeFillTint="3F"/>
      </w:tcPr>
    </w:tblStylePr>
  </w:style>
  <w:style w:type="table" w:styleId="43">
    <w:name w:val="Light Shading Accent 6"/>
    <w:basedOn w:val="35"/>
    <w:qFormat/>
    <w:uiPriority w:val="60"/>
    <w:pPr>
      <w:spacing w:after="0" w:line="240" w:lineRule="auto"/>
    </w:pPr>
    <w:rPr>
      <w:color w:val="C81D31" w:themeColor="accent6" w:themeShade="BF"/>
    </w:rPr>
    <w:tblPr>
      <w:tblBorders>
        <w:top w:val="single" w:color="E54C5E" w:themeColor="accent6" w:sz="8" w:space="0"/>
        <w:bottom w:val="single" w:color="E54C5E"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54C5E" w:themeColor="accent6" w:sz="8" w:space="0"/>
          <w:left w:val="nil"/>
          <w:bottom w:val="single" w:color="E54C5E" w:themeColor="accent6" w:sz="8" w:space="0"/>
          <w:right w:val="nil"/>
          <w:insideH w:val="nil"/>
          <w:insideV w:val="nil"/>
        </w:tcBorders>
      </w:tcPr>
    </w:tblStylePr>
    <w:tblStylePr w:type="lastRow">
      <w:pPr>
        <w:spacing w:before="0" w:after="0" w:line="240" w:lineRule="auto"/>
      </w:pPr>
      <w:rPr>
        <w:b/>
        <w:bCs/>
      </w:rPr>
      <w:tblPr/>
      <w:tcPr>
        <w:tcBorders>
          <w:top w:val="single" w:color="E54C5E" w:themeColor="accent6" w:sz="8" w:space="0"/>
          <w:left w:val="nil"/>
          <w:bottom w:val="single" w:color="E54C5E"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2D7" w:themeFill="accent6" w:themeFillTint="3F"/>
      </w:tcPr>
    </w:tblStylePr>
    <w:tblStylePr w:type="band1Horz">
      <w:tblPr/>
      <w:tcPr>
        <w:tcBorders>
          <w:left w:val="nil"/>
          <w:right w:val="nil"/>
          <w:insideH w:val="nil"/>
          <w:insideV w:val="nil"/>
        </w:tcBorders>
        <w:shd w:val="clear" w:color="auto" w:fill="F8D2D7" w:themeFill="accent6" w:themeFillTint="3F"/>
      </w:tcPr>
    </w:tblStylePr>
  </w:style>
  <w:style w:type="table" w:styleId="44">
    <w:name w:val="Light List"/>
    <w:basedOn w:val="35"/>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5">
    <w:name w:val="Light List Accent 1"/>
    <w:basedOn w:val="35"/>
    <w:qFormat/>
    <w:uiPriority w:val="61"/>
    <w:pPr>
      <w:spacing w:after="0" w:line="240" w:lineRule="auto"/>
    </w:pPr>
    <w:tblPr>
      <w:tblBorders>
        <w:top w:val="single" w:color="4874CB" w:themeColor="accent1" w:sz="8" w:space="0"/>
        <w:left w:val="single" w:color="4874CB" w:themeColor="accent1" w:sz="8" w:space="0"/>
        <w:bottom w:val="single" w:color="4874CB" w:themeColor="accent1" w:sz="8" w:space="0"/>
        <w:right w:val="single" w:color="4874CB"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874CB" w:themeFill="accent1"/>
      </w:tcPr>
    </w:tblStylePr>
    <w:tblStylePr w:type="lastRow">
      <w:pPr>
        <w:spacing w:before="0" w:after="0" w:line="240" w:lineRule="auto"/>
      </w:pPr>
      <w:rPr>
        <w:b/>
        <w:bCs/>
      </w:rPr>
      <w:tblPr/>
      <w:tcPr>
        <w:tcBorders>
          <w:top w:val="double" w:color="4874CB" w:themeColor="accent1" w:sz="6" w:space="0"/>
          <w:left w:val="single" w:color="4874CB" w:themeColor="accent1" w:sz="8" w:space="0"/>
          <w:bottom w:val="single" w:color="4874CB" w:themeColor="accent1" w:sz="8" w:space="0"/>
          <w:right w:val="single" w:color="4874CB" w:themeColor="accent1" w:sz="8" w:space="0"/>
        </w:tcBorders>
      </w:tcPr>
    </w:tblStylePr>
    <w:tblStylePr w:type="firstCol">
      <w:rPr>
        <w:b/>
        <w:bCs/>
      </w:rPr>
    </w:tblStylePr>
    <w:tblStylePr w:type="lastCol">
      <w:rPr>
        <w:b/>
        <w:bCs/>
      </w:rPr>
    </w:tblStylePr>
    <w:tblStylePr w:type="band1Vert">
      <w:tblPr/>
      <w:tcPr>
        <w:tcBorders>
          <w:top w:val="single" w:color="4874CB" w:themeColor="accent1" w:sz="8" w:space="0"/>
          <w:left w:val="single" w:color="4874CB" w:themeColor="accent1" w:sz="8" w:space="0"/>
          <w:bottom w:val="single" w:color="4874CB" w:themeColor="accent1" w:sz="8" w:space="0"/>
          <w:right w:val="single" w:color="4874CB" w:themeColor="accent1" w:sz="8" w:space="0"/>
        </w:tcBorders>
      </w:tcPr>
    </w:tblStylePr>
    <w:tblStylePr w:type="band1Horz">
      <w:tblPr/>
      <w:tcPr>
        <w:tcBorders>
          <w:top w:val="single" w:color="4874CB" w:themeColor="accent1" w:sz="8" w:space="0"/>
          <w:left w:val="single" w:color="4874CB" w:themeColor="accent1" w:sz="8" w:space="0"/>
          <w:bottom w:val="single" w:color="4874CB" w:themeColor="accent1" w:sz="8" w:space="0"/>
          <w:right w:val="single" w:color="4874CB" w:themeColor="accent1" w:sz="8" w:space="0"/>
        </w:tcBorders>
      </w:tcPr>
    </w:tblStylePr>
  </w:style>
  <w:style w:type="table" w:styleId="46">
    <w:name w:val="Light List Accent 2"/>
    <w:basedOn w:val="35"/>
    <w:qFormat/>
    <w:uiPriority w:val="61"/>
    <w:pPr>
      <w:spacing w:after="0" w:line="240" w:lineRule="auto"/>
    </w:pPr>
    <w:tblPr>
      <w:tblBorders>
        <w:top w:val="single" w:color="EE822F" w:themeColor="accent2" w:sz="8" w:space="0"/>
        <w:left w:val="single" w:color="EE822F" w:themeColor="accent2" w:sz="8" w:space="0"/>
        <w:bottom w:val="single" w:color="EE822F" w:themeColor="accent2" w:sz="8" w:space="0"/>
        <w:right w:val="single" w:color="EE822F"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EE822F" w:themeFill="accent2"/>
      </w:tcPr>
    </w:tblStylePr>
    <w:tblStylePr w:type="lastRow">
      <w:pPr>
        <w:spacing w:before="0" w:after="0" w:line="240" w:lineRule="auto"/>
      </w:pPr>
      <w:rPr>
        <w:b/>
        <w:bCs/>
      </w:rPr>
      <w:tblPr/>
      <w:tcPr>
        <w:tcBorders>
          <w:top w:val="double" w:color="EE822F" w:themeColor="accent2" w:sz="6" w:space="0"/>
          <w:left w:val="single" w:color="EE822F" w:themeColor="accent2" w:sz="8" w:space="0"/>
          <w:bottom w:val="single" w:color="EE822F" w:themeColor="accent2" w:sz="8" w:space="0"/>
          <w:right w:val="single" w:color="EE822F" w:themeColor="accent2" w:sz="8" w:space="0"/>
        </w:tcBorders>
      </w:tcPr>
    </w:tblStylePr>
    <w:tblStylePr w:type="firstCol">
      <w:rPr>
        <w:b/>
        <w:bCs/>
      </w:rPr>
    </w:tblStylePr>
    <w:tblStylePr w:type="lastCol">
      <w:rPr>
        <w:b/>
        <w:bCs/>
      </w:rPr>
    </w:tblStylePr>
    <w:tblStylePr w:type="band1Vert">
      <w:tblPr/>
      <w:tcPr>
        <w:tcBorders>
          <w:top w:val="single" w:color="EE822F" w:themeColor="accent2" w:sz="8" w:space="0"/>
          <w:left w:val="single" w:color="EE822F" w:themeColor="accent2" w:sz="8" w:space="0"/>
          <w:bottom w:val="single" w:color="EE822F" w:themeColor="accent2" w:sz="8" w:space="0"/>
          <w:right w:val="single" w:color="EE822F" w:themeColor="accent2" w:sz="8" w:space="0"/>
        </w:tcBorders>
      </w:tcPr>
    </w:tblStylePr>
    <w:tblStylePr w:type="band1Horz">
      <w:tblPr/>
      <w:tcPr>
        <w:tcBorders>
          <w:top w:val="single" w:color="EE822F" w:themeColor="accent2" w:sz="8" w:space="0"/>
          <w:left w:val="single" w:color="EE822F" w:themeColor="accent2" w:sz="8" w:space="0"/>
          <w:bottom w:val="single" w:color="EE822F" w:themeColor="accent2" w:sz="8" w:space="0"/>
          <w:right w:val="single" w:color="EE822F" w:themeColor="accent2" w:sz="8" w:space="0"/>
        </w:tcBorders>
      </w:tcPr>
    </w:tblStylePr>
  </w:style>
  <w:style w:type="table" w:styleId="47">
    <w:name w:val="Light List Accent 3"/>
    <w:basedOn w:val="35"/>
    <w:qFormat/>
    <w:uiPriority w:val="61"/>
    <w:pPr>
      <w:spacing w:after="0" w:line="240" w:lineRule="auto"/>
    </w:pPr>
    <w:tblPr>
      <w:tblBorders>
        <w:top w:val="single" w:color="F2BA02" w:themeColor="accent3" w:sz="8" w:space="0"/>
        <w:left w:val="single" w:color="F2BA02" w:themeColor="accent3" w:sz="8" w:space="0"/>
        <w:bottom w:val="single" w:color="F2BA02" w:themeColor="accent3" w:sz="8" w:space="0"/>
        <w:right w:val="single" w:color="F2BA02"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2BA02" w:themeFill="accent3"/>
      </w:tcPr>
    </w:tblStylePr>
    <w:tblStylePr w:type="lastRow">
      <w:pPr>
        <w:spacing w:before="0" w:after="0" w:line="240" w:lineRule="auto"/>
      </w:pPr>
      <w:rPr>
        <w:b/>
        <w:bCs/>
      </w:rPr>
      <w:tblPr/>
      <w:tcPr>
        <w:tcBorders>
          <w:top w:val="double" w:color="F2BA02" w:themeColor="accent3" w:sz="6" w:space="0"/>
          <w:left w:val="single" w:color="F2BA02" w:themeColor="accent3" w:sz="8" w:space="0"/>
          <w:bottom w:val="single" w:color="F2BA02" w:themeColor="accent3" w:sz="8" w:space="0"/>
          <w:right w:val="single" w:color="F2BA02" w:themeColor="accent3" w:sz="8" w:space="0"/>
        </w:tcBorders>
      </w:tcPr>
    </w:tblStylePr>
    <w:tblStylePr w:type="firstCol">
      <w:rPr>
        <w:b/>
        <w:bCs/>
      </w:rPr>
    </w:tblStylePr>
    <w:tblStylePr w:type="lastCol">
      <w:rPr>
        <w:b/>
        <w:bCs/>
      </w:rPr>
    </w:tblStylePr>
    <w:tblStylePr w:type="band1Vert">
      <w:tblPr/>
      <w:tcPr>
        <w:tcBorders>
          <w:top w:val="single" w:color="F2BA02" w:themeColor="accent3" w:sz="8" w:space="0"/>
          <w:left w:val="single" w:color="F2BA02" w:themeColor="accent3" w:sz="8" w:space="0"/>
          <w:bottom w:val="single" w:color="F2BA02" w:themeColor="accent3" w:sz="8" w:space="0"/>
          <w:right w:val="single" w:color="F2BA02" w:themeColor="accent3" w:sz="8" w:space="0"/>
        </w:tcBorders>
      </w:tcPr>
    </w:tblStylePr>
    <w:tblStylePr w:type="band1Horz">
      <w:tblPr/>
      <w:tcPr>
        <w:tcBorders>
          <w:top w:val="single" w:color="F2BA02" w:themeColor="accent3" w:sz="8" w:space="0"/>
          <w:left w:val="single" w:color="F2BA02" w:themeColor="accent3" w:sz="8" w:space="0"/>
          <w:bottom w:val="single" w:color="F2BA02" w:themeColor="accent3" w:sz="8" w:space="0"/>
          <w:right w:val="single" w:color="F2BA02" w:themeColor="accent3" w:sz="8" w:space="0"/>
        </w:tcBorders>
      </w:tcPr>
    </w:tblStylePr>
  </w:style>
  <w:style w:type="table" w:styleId="48">
    <w:name w:val="Light List Accent 4"/>
    <w:basedOn w:val="35"/>
    <w:qFormat/>
    <w:uiPriority w:val="61"/>
    <w:pPr>
      <w:spacing w:after="0" w:line="240" w:lineRule="auto"/>
    </w:pPr>
    <w:tblPr>
      <w:tblBorders>
        <w:top w:val="single" w:color="75BD42" w:themeColor="accent4" w:sz="8" w:space="0"/>
        <w:left w:val="single" w:color="75BD42" w:themeColor="accent4" w:sz="8" w:space="0"/>
        <w:bottom w:val="single" w:color="75BD42" w:themeColor="accent4" w:sz="8" w:space="0"/>
        <w:right w:val="single" w:color="75BD4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75BD42" w:themeFill="accent4"/>
      </w:tcPr>
    </w:tblStylePr>
    <w:tblStylePr w:type="lastRow">
      <w:pPr>
        <w:spacing w:before="0" w:after="0" w:line="240" w:lineRule="auto"/>
      </w:pPr>
      <w:rPr>
        <w:b/>
        <w:bCs/>
      </w:rPr>
      <w:tblPr/>
      <w:tcPr>
        <w:tcBorders>
          <w:top w:val="double" w:color="75BD42" w:themeColor="accent4" w:sz="6" w:space="0"/>
          <w:left w:val="single" w:color="75BD42" w:themeColor="accent4" w:sz="8" w:space="0"/>
          <w:bottom w:val="single" w:color="75BD42" w:themeColor="accent4" w:sz="8" w:space="0"/>
          <w:right w:val="single" w:color="75BD42" w:themeColor="accent4" w:sz="8" w:space="0"/>
        </w:tcBorders>
      </w:tcPr>
    </w:tblStylePr>
    <w:tblStylePr w:type="firstCol">
      <w:rPr>
        <w:b/>
        <w:bCs/>
      </w:rPr>
    </w:tblStylePr>
    <w:tblStylePr w:type="lastCol">
      <w:rPr>
        <w:b/>
        <w:bCs/>
      </w:rPr>
    </w:tblStylePr>
    <w:tblStylePr w:type="band1Vert">
      <w:tblPr/>
      <w:tcPr>
        <w:tcBorders>
          <w:top w:val="single" w:color="75BD42" w:themeColor="accent4" w:sz="8" w:space="0"/>
          <w:left w:val="single" w:color="75BD42" w:themeColor="accent4" w:sz="8" w:space="0"/>
          <w:bottom w:val="single" w:color="75BD42" w:themeColor="accent4" w:sz="8" w:space="0"/>
          <w:right w:val="single" w:color="75BD42" w:themeColor="accent4" w:sz="8" w:space="0"/>
        </w:tcBorders>
      </w:tcPr>
    </w:tblStylePr>
    <w:tblStylePr w:type="band1Horz">
      <w:tblPr/>
      <w:tcPr>
        <w:tcBorders>
          <w:top w:val="single" w:color="75BD42" w:themeColor="accent4" w:sz="8" w:space="0"/>
          <w:left w:val="single" w:color="75BD42" w:themeColor="accent4" w:sz="8" w:space="0"/>
          <w:bottom w:val="single" w:color="75BD42" w:themeColor="accent4" w:sz="8" w:space="0"/>
          <w:right w:val="single" w:color="75BD42" w:themeColor="accent4" w:sz="8" w:space="0"/>
        </w:tcBorders>
      </w:tcPr>
    </w:tblStylePr>
  </w:style>
  <w:style w:type="table" w:styleId="49">
    <w:name w:val="Light List Accent 5"/>
    <w:basedOn w:val="35"/>
    <w:qFormat/>
    <w:uiPriority w:val="61"/>
    <w:pPr>
      <w:spacing w:after="0" w:line="240" w:lineRule="auto"/>
    </w:pPr>
    <w:tblPr>
      <w:tblBorders>
        <w:top w:val="single" w:color="30C0B4" w:themeColor="accent5" w:sz="8" w:space="0"/>
        <w:left w:val="single" w:color="30C0B4" w:themeColor="accent5" w:sz="8" w:space="0"/>
        <w:bottom w:val="single" w:color="30C0B4" w:themeColor="accent5" w:sz="8" w:space="0"/>
        <w:right w:val="single" w:color="30C0B4"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30C0B4" w:themeFill="accent5"/>
      </w:tcPr>
    </w:tblStylePr>
    <w:tblStylePr w:type="lastRow">
      <w:pPr>
        <w:spacing w:before="0" w:after="0" w:line="240" w:lineRule="auto"/>
      </w:pPr>
      <w:rPr>
        <w:b/>
        <w:bCs/>
      </w:rPr>
      <w:tblPr/>
      <w:tcPr>
        <w:tcBorders>
          <w:top w:val="double" w:color="30C0B4" w:themeColor="accent5" w:sz="6" w:space="0"/>
          <w:left w:val="single" w:color="30C0B4" w:themeColor="accent5" w:sz="8" w:space="0"/>
          <w:bottom w:val="single" w:color="30C0B4" w:themeColor="accent5" w:sz="8" w:space="0"/>
          <w:right w:val="single" w:color="30C0B4" w:themeColor="accent5" w:sz="8" w:space="0"/>
        </w:tcBorders>
      </w:tcPr>
    </w:tblStylePr>
    <w:tblStylePr w:type="firstCol">
      <w:rPr>
        <w:b/>
        <w:bCs/>
      </w:rPr>
    </w:tblStylePr>
    <w:tblStylePr w:type="lastCol">
      <w:rPr>
        <w:b/>
        <w:bCs/>
      </w:rPr>
    </w:tblStylePr>
    <w:tblStylePr w:type="band1Vert">
      <w:tblPr/>
      <w:tcPr>
        <w:tcBorders>
          <w:top w:val="single" w:color="30C0B4" w:themeColor="accent5" w:sz="8" w:space="0"/>
          <w:left w:val="single" w:color="30C0B4" w:themeColor="accent5" w:sz="8" w:space="0"/>
          <w:bottom w:val="single" w:color="30C0B4" w:themeColor="accent5" w:sz="8" w:space="0"/>
          <w:right w:val="single" w:color="30C0B4" w:themeColor="accent5" w:sz="8" w:space="0"/>
        </w:tcBorders>
      </w:tcPr>
    </w:tblStylePr>
    <w:tblStylePr w:type="band1Horz">
      <w:tblPr/>
      <w:tcPr>
        <w:tcBorders>
          <w:top w:val="single" w:color="30C0B4" w:themeColor="accent5" w:sz="8" w:space="0"/>
          <w:left w:val="single" w:color="30C0B4" w:themeColor="accent5" w:sz="8" w:space="0"/>
          <w:bottom w:val="single" w:color="30C0B4" w:themeColor="accent5" w:sz="8" w:space="0"/>
          <w:right w:val="single" w:color="30C0B4" w:themeColor="accent5" w:sz="8" w:space="0"/>
        </w:tcBorders>
      </w:tcPr>
    </w:tblStylePr>
  </w:style>
  <w:style w:type="table" w:styleId="50">
    <w:name w:val="Light List Accent 6"/>
    <w:basedOn w:val="35"/>
    <w:qFormat/>
    <w:uiPriority w:val="61"/>
    <w:pPr>
      <w:spacing w:after="0" w:line="240" w:lineRule="auto"/>
    </w:pPr>
    <w:tblPr>
      <w:tblBorders>
        <w:top w:val="single" w:color="E54C5E" w:themeColor="accent6" w:sz="8" w:space="0"/>
        <w:left w:val="single" w:color="E54C5E" w:themeColor="accent6" w:sz="8" w:space="0"/>
        <w:bottom w:val="single" w:color="E54C5E" w:themeColor="accent6" w:sz="8" w:space="0"/>
        <w:right w:val="single" w:color="E54C5E"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E54C5E" w:themeFill="accent6"/>
      </w:tcPr>
    </w:tblStylePr>
    <w:tblStylePr w:type="lastRow">
      <w:pPr>
        <w:spacing w:before="0" w:after="0" w:line="240" w:lineRule="auto"/>
      </w:pPr>
      <w:rPr>
        <w:b/>
        <w:bCs/>
      </w:rPr>
      <w:tblPr/>
      <w:tcPr>
        <w:tcBorders>
          <w:top w:val="double" w:color="E54C5E" w:themeColor="accent6" w:sz="6" w:space="0"/>
          <w:left w:val="single" w:color="E54C5E" w:themeColor="accent6" w:sz="8" w:space="0"/>
          <w:bottom w:val="single" w:color="E54C5E" w:themeColor="accent6" w:sz="8" w:space="0"/>
          <w:right w:val="single" w:color="E54C5E" w:themeColor="accent6" w:sz="8" w:space="0"/>
        </w:tcBorders>
      </w:tcPr>
    </w:tblStylePr>
    <w:tblStylePr w:type="firstCol">
      <w:rPr>
        <w:b/>
        <w:bCs/>
      </w:rPr>
    </w:tblStylePr>
    <w:tblStylePr w:type="lastCol">
      <w:rPr>
        <w:b/>
        <w:bCs/>
      </w:rPr>
    </w:tblStylePr>
    <w:tblStylePr w:type="band1Vert">
      <w:tblPr/>
      <w:tcPr>
        <w:tcBorders>
          <w:top w:val="single" w:color="E54C5E" w:themeColor="accent6" w:sz="8" w:space="0"/>
          <w:left w:val="single" w:color="E54C5E" w:themeColor="accent6" w:sz="8" w:space="0"/>
          <w:bottom w:val="single" w:color="E54C5E" w:themeColor="accent6" w:sz="8" w:space="0"/>
          <w:right w:val="single" w:color="E54C5E" w:themeColor="accent6" w:sz="8" w:space="0"/>
        </w:tcBorders>
      </w:tcPr>
    </w:tblStylePr>
    <w:tblStylePr w:type="band1Horz">
      <w:tblPr/>
      <w:tcPr>
        <w:tcBorders>
          <w:top w:val="single" w:color="E54C5E" w:themeColor="accent6" w:sz="8" w:space="0"/>
          <w:left w:val="single" w:color="E54C5E" w:themeColor="accent6" w:sz="8" w:space="0"/>
          <w:bottom w:val="single" w:color="E54C5E" w:themeColor="accent6" w:sz="8" w:space="0"/>
          <w:right w:val="single" w:color="E54C5E" w:themeColor="accent6" w:sz="8" w:space="0"/>
        </w:tcBorders>
      </w:tcPr>
    </w:tblStylePr>
  </w:style>
  <w:style w:type="table" w:styleId="51">
    <w:name w:val="Light Grid"/>
    <w:basedOn w:val="35"/>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2">
    <w:name w:val="Light Grid Accent 1"/>
    <w:basedOn w:val="35"/>
    <w:qFormat/>
    <w:uiPriority w:val="62"/>
    <w:pPr>
      <w:spacing w:after="0" w:line="240" w:lineRule="auto"/>
    </w:pPr>
    <w:tblPr>
      <w:tblBorders>
        <w:top w:val="single" w:color="4874CB" w:themeColor="accent1" w:sz="8" w:space="0"/>
        <w:left w:val="single" w:color="4874CB" w:themeColor="accent1" w:sz="8" w:space="0"/>
        <w:bottom w:val="single" w:color="4874CB" w:themeColor="accent1" w:sz="8" w:space="0"/>
        <w:right w:val="single" w:color="4874CB" w:themeColor="accent1" w:sz="8" w:space="0"/>
        <w:insideH w:val="single" w:color="4874CB" w:themeColor="accent1" w:sz="8" w:space="0"/>
        <w:insideV w:val="single" w:color="4874CB"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874CB" w:themeColor="accent1" w:sz="8" w:space="0"/>
          <w:left w:val="single" w:color="4874CB" w:themeColor="accent1" w:sz="8" w:space="0"/>
          <w:bottom w:val="single" w:color="4874CB" w:themeColor="accent1" w:sz="18" w:space="0"/>
          <w:right w:val="single" w:color="4874CB"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874CB" w:themeColor="accent1" w:sz="6" w:space="0"/>
          <w:left w:val="single" w:color="4874CB" w:themeColor="accent1" w:sz="8" w:space="0"/>
          <w:bottom w:val="single" w:color="4874CB" w:themeColor="accent1" w:sz="8" w:space="0"/>
          <w:right w:val="single" w:color="4874CB"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874CB" w:themeColor="accent1" w:sz="8" w:space="0"/>
          <w:left w:val="single" w:color="4874CB" w:themeColor="accent1" w:sz="8" w:space="0"/>
          <w:bottom w:val="single" w:color="4874CB" w:themeColor="accent1" w:sz="8" w:space="0"/>
          <w:right w:val="single" w:color="4874CB" w:themeColor="accent1" w:sz="8" w:space="0"/>
        </w:tcBorders>
      </w:tcPr>
    </w:tblStylePr>
    <w:tblStylePr w:type="band1Vert">
      <w:tblPr/>
      <w:tcPr>
        <w:tcBorders>
          <w:top w:val="single" w:color="4874CB" w:themeColor="accent1" w:sz="8" w:space="0"/>
          <w:left w:val="single" w:color="4874CB" w:themeColor="accent1" w:sz="8" w:space="0"/>
          <w:bottom w:val="single" w:color="4874CB" w:themeColor="accent1" w:sz="8" w:space="0"/>
          <w:right w:val="single" w:color="4874CB" w:themeColor="accent1" w:sz="8" w:space="0"/>
        </w:tcBorders>
        <w:shd w:val="clear" w:color="auto" w:fill="D1DCF2" w:themeFill="accent1" w:themeFillTint="3F"/>
      </w:tcPr>
    </w:tblStylePr>
    <w:tblStylePr w:type="band1Horz">
      <w:tblPr/>
      <w:tcPr>
        <w:tcBorders>
          <w:top w:val="single" w:color="4874CB" w:themeColor="accent1" w:sz="8" w:space="0"/>
          <w:left w:val="single" w:color="4874CB" w:themeColor="accent1" w:sz="8" w:space="0"/>
          <w:bottom w:val="single" w:color="4874CB" w:themeColor="accent1" w:sz="8" w:space="0"/>
          <w:right w:val="single" w:color="4874CB" w:themeColor="accent1" w:sz="8" w:space="0"/>
          <w:insideV w:val="single" w:sz="8" w:space="0"/>
        </w:tcBorders>
        <w:shd w:val="clear" w:color="auto" w:fill="D1DCF2" w:themeFill="accent1" w:themeFillTint="3F"/>
      </w:tcPr>
    </w:tblStylePr>
    <w:tblStylePr w:type="band2Horz">
      <w:tblPr/>
      <w:tcPr>
        <w:tcBorders>
          <w:top w:val="single" w:color="4874CB" w:themeColor="accent1" w:sz="8" w:space="0"/>
          <w:left w:val="single" w:color="4874CB" w:themeColor="accent1" w:sz="8" w:space="0"/>
          <w:bottom w:val="single" w:color="4874CB" w:themeColor="accent1" w:sz="8" w:space="0"/>
          <w:right w:val="single" w:color="4874CB" w:themeColor="accent1" w:sz="8" w:space="0"/>
          <w:insideV w:val="single" w:sz="8" w:space="0"/>
        </w:tcBorders>
      </w:tcPr>
    </w:tblStylePr>
  </w:style>
  <w:style w:type="table" w:styleId="53">
    <w:name w:val="Light Grid Accent 2"/>
    <w:basedOn w:val="35"/>
    <w:qFormat/>
    <w:uiPriority w:val="62"/>
    <w:pPr>
      <w:spacing w:after="0" w:line="240" w:lineRule="auto"/>
    </w:pPr>
    <w:tblPr>
      <w:tblBorders>
        <w:top w:val="single" w:color="EE822F" w:themeColor="accent2" w:sz="8" w:space="0"/>
        <w:left w:val="single" w:color="EE822F" w:themeColor="accent2" w:sz="8" w:space="0"/>
        <w:bottom w:val="single" w:color="EE822F" w:themeColor="accent2" w:sz="8" w:space="0"/>
        <w:right w:val="single" w:color="EE822F" w:themeColor="accent2" w:sz="8" w:space="0"/>
        <w:insideH w:val="single" w:color="EE822F" w:themeColor="accent2" w:sz="8" w:space="0"/>
        <w:insideV w:val="single" w:color="EE822F"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E822F" w:themeColor="accent2" w:sz="8" w:space="0"/>
          <w:left w:val="single" w:color="EE822F" w:themeColor="accent2" w:sz="8" w:space="0"/>
          <w:bottom w:val="single" w:color="EE822F" w:themeColor="accent2" w:sz="18" w:space="0"/>
          <w:right w:val="single" w:color="EE822F"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E822F" w:themeColor="accent2" w:sz="6" w:space="0"/>
          <w:left w:val="single" w:color="EE822F" w:themeColor="accent2" w:sz="8" w:space="0"/>
          <w:bottom w:val="single" w:color="EE822F" w:themeColor="accent2" w:sz="8" w:space="0"/>
          <w:right w:val="single" w:color="EE822F"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E822F" w:themeColor="accent2" w:sz="8" w:space="0"/>
          <w:left w:val="single" w:color="EE822F" w:themeColor="accent2" w:sz="8" w:space="0"/>
          <w:bottom w:val="single" w:color="EE822F" w:themeColor="accent2" w:sz="8" w:space="0"/>
          <w:right w:val="single" w:color="EE822F" w:themeColor="accent2" w:sz="8" w:space="0"/>
        </w:tcBorders>
      </w:tcPr>
    </w:tblStylePr>
    <w:tblStylePr w:type="band1Vert">
      <w:tblPr/>
      <w:tcPr>
        <w:tcBorders>
          <w:top w:val="single" w:color="EE822F" w:themeColor="accent2" w:sz="8" w:space="0"/>
          <w:left w:val="single" w:color="EE822F" w:themeColor="accent2" w:sz="8" w:space="0"/>
          <w:bottom w:val="single" w:color="EE822F" w:themeColor="accent2" w:sz="8" w:space="0"/>
          <w:right w:val="single" w:color="EE822F" w:themeColor="accent2" w:sz="8" w:space="0"/>
        </w:tcBorders>
        <w:shd w:val="clear" w:color="auto" w:fill="FAE0CB" w:themeFill="accent2" w:themeFillTint="3F"/>
      </w:tcPr>
    </w:tblStylePr>
    <w:tblStylePr w:type="band1Horz">
      <w:tblPr/>
      <w:tcPr>
        <w:tcBorders>
          <w:top w:val="single" w:color="EE822F" w:themeColor="accent2" w:sz="8" w:space="0"/>
          <w:left w:val="single" w:color="EE822F" w:themeColor="accent2" w:sz="8" w:space="0"/>
          <w:bottom w:val="single" w:color="EE822F" w:themeColor="accent2" w:sz="8" w:space="0"/>
          <w:right w:val="single" w:color="EE822F" w:themeColor="accent2" w:sz="8" w:space="0"/>
          <w:insideV w:val="single" w:sz="8" w:space="0"/>
        </w:tcBorders>
        <w:shd w:val="clear" w:color="auto" w:fill="FAE0CB" w:themeFill="accent2" w:themeFillTint="3F"/>
      </w:tcPr>
    </w:tblStylePr>
    <w:tblStylePr w:type="band2Horz">
      <w:tblPr/>
      <w:tcPr>
        <w:tcBorders>
          <w:top w:val="single" w:color="EE822F" w:themeColor="accent2" w:sz="8" w:space="0"/>
          <w:left w:val="single" w:color="EE822F" w:themeColor="accent2" w:sz="8" w:space="0"/>
          <w:bottom w:val="single" w:color="EE822F" w:themeColor="accent2" w:sz="8" w:space="0"/>
          <w:right w:val="single" w:color="EE822F" w:themeColor="accent2" w:sz="8" w:space="0"/>
          <w:insideV w:val="single" w:sz="8" w:space="0"/>
        </w:tcBorders>
      </w:tcPr>
    </w:tblStylePr>
  </w:style>
  <w:style w:type="table" w:styleId="54">
    <w:name w:val="Light Grid Accent 3"/>
    <w:basedOn w:val="35"/>
    <w:qFormat/>
    <w:uiPriority w:val="62"/>
    <w:pPr>
      <w:spacing w:after="0" w:line="240" w:lineRule="auto"/>
    </w:pPr>
    <w:tblPr>
      <w:tblBorders>
        <w:top w:val="single" w:color="F2BA02" w:themeColor="accent3" w:sz="8" w:space="0"/>
        <w:left w:val="single" w:color="F2BA02" w:themeColor="accent3" w:sz="8" w:space="0"/>
        <w:bottom w:val="single" w:color="F2BA02" w:themeColor="accent3" w:sz="8" w:space="0"/>
        <w:right w:val="single" w:color="F2BA02" w:themeColor="accent3" w:sz="8" w:space="0"/>
        <w:insideH w:val="single" w:color="F2BA02" w:themeColor="accent3" w:sz="8" w:space="0"/>
        <w:insideV w:val="single" w:color="F2BA02"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2BA02" w:themeColor="accent3" w:sz="8" w:space="0"/>
          <w:left w:val="single" w:color="F2BA02" w:themeColor="accent3" w:sz="8" w:space="0"/>
          <w:bottom w:val="single" w:color="F2BA02" w:themeColor="accent3" w:sz="18" w:space="0"/>
          <w:right w:val="single" w:color="F2BA02"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2BA02" w:themeColor="accent3" w:sz="6" w:space="0"/>
          <w:left w:val="single" w:color="F2BA02" w:themeColor="accent3" w:sz="8" w:space="0"/>
          <w:bottom w:val="single" w:color="F2BA02" w:themeColor="accent3" w:sz="8" w:space="0"/>
          <w:right w:val="single" w:color="F2BA02"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2BA02" w:themeColor="accent3" w:sz="8" w:space="0"/>
          <w:left w:val="single" w:color="F2BA02" w:themeColor="accent3" w:sz="8" w:space="0"/>
          <w:bottom w:val="single" w:color="F2BA02" w:themeColor="accent3" w:sz="8" w:space="0"/>
          <w:right w:val="single" w:color="F2BA02" w:themeColor="accent3" w:sz="8" w:space="0"/>
        </w:tcBorders>
      </w:tcPr>
    </w:tblStylePr>
    <w:tblStylePr w:type="band1Vert">
      <w:tblPr/>
      <w:tcPr>
        <w:tcBorders>
          <w:top w:val="single" w:color="F2BA02" w:themeColor="accent3" w:sz="8" w:space="0"/>
          <w:left w:val="single" w:color="F2BA02" w:themeColor="accent3" w:sz="8" w:space="0"/>
          <w:bottom w:val="single" w:color="F2BA02" w:themeColor="accent3" w:sz="8" w:space="0"/>
          <w:right w:val="single" w:color="F2BA02" w:themeColor="accent3" w:sz="8" w:space="0"/>
        </w:tcBorders>
        <w:shd w:val="clear" w:color="auto" w:fill="FEEFBD" w:themeFill="accent3" w:themeFillTint="3F"/>
      </w:tcPr>
    </w:tblStylePr>
    <w:tblStylePr w:type="band1Horz">
      <w:tblPr/>
      <w:tcPr>
        <w:tcBorders>
          <w:top w:val="single" w:color="F2BA02" w:themeColor="accent3" w:sz="8" w:space="0"/>
          <w:left w:val="single" w:color="F2BA02" w:themeColor="accent3" w:sz="8" w:space="0"/>
          <w:bottom w:val="single" w:color="F2BA02" w:themeColor="accent3" w:sz="8" w:space="0"/>
          <w:right w:val="single" w:color="F2BA02" w:themeColor="accent3" w:sz="8" w:space="0"/>
          <w:insideV w:val="single" w:sz="8" w:space="0"/>
        </w:tcBorders>
        <w:shd w:val="clear" w:color="auto" w:fill="FEEFBD" w:themeFill="accent3" w:themeFillTint="3F"/>
      </w:tcPr>
    </w:tblStylePr>
    <w:tblStylePr w:type="band2Horz">
      <w:tblPr/>
      <w:tcPr>
        <w:tcBorders>
          <w:top w:val="single" w:color="F2BA02" w:themeColor="accent3" w:sz="8" w:space="0"/>
          <w:left w:val="single" w:color="F2BA02" w:themeColor="accent3" w:sz="8" w:space="0"/>
          <w:bottom w:val="single" w:color="F2BA02" w:themeColor="accent3" w:sz="8" w:space="0"/>
          <w:right w:val="single" w:color="F2BA02" w:themeColor="accent3" w:sz="8" w:space="0"/>
          <w:insideV w:val="single" w:sz="8" w:space="0"/>
        </w:tcBorders>
      </w:tcPr>
    </w:tblStylePr>
  </w:style>
  <w:style w:type="table" w:styleId="55">
    <w:name w:val="Light Grid Accent 4"/>
    <w:basedOn w:val="35"/>
    <w:qFormat/>
    <w:uiPriority w:val="62"/>
    <w:pPr>
      <w:spacing w:after="0" w:line="240" w:lineRule="auto"/>
    </w:pPr>
    <w:tblPr>
      <w:tblBorders>
        <w:top w:val="single" w:color="75BD42" w:themeColor="accent4" w:sz="8" w:space="0"/>
        <w:left w:val="single" w:color="75BD42" w:themeColor="accent4" w:sz="8" w:space="0"/>
        <w:bottom w:val="single" w:color="75BD42" w:themeColor="accent4" w:sz="8" w:space="0"/>
        <w:right w:val="single" w:color="75BD42" w:themeColor="accent4" w:sz="8" w:space="0"/>
        <w:insideH w:val="single" w:color="75BD42" w:themeColor="accent4" w:sz="8" w:space="0"/>
        <w:insideV w:val="single" w:color="75BD4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75BD42" w:themeColor="accent4" w:sz="8" w:space="0"/>
          <w:left w:val="single" w:color="75BD42" w:themeColor="accent4" w:sz="8" w:space="0"/>
          <w:bottom w:val="single" w:color="75BD42" w:themeColor="accent4" w:sz="18" w:space="0"/>
          <w:right w:val="single" w:color="75BD4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5BD42" w:themeColor="accent4" w:sz="6" w:space="0"/>
          <w:left w:val="single" w:color="75BD42" w:themeColor="accent4" w:sz="8" w:space="0"/>
          <w:bottom w:val="single" w:color="75BD42" w:themeColor="accent4" w:sz="8" w:space="0"/>
          <w:right w:val="single" w:color="75BD4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5BD42" w:themeColor="accent4" w:sz="8" w:space="0"/>
          <w:left w:val="single" w:color="75BD42" w:themeColor="accent4" w:sz="8" w:space="0"/>
          <w:bottom w:val="single" w:color="75BD42" w:themeColor="accent4" w:sz="8" w:space="0"/>
          <w:right w:val="single" w:color="75BD42" w:themeColor="accent4" w:sz="8" w:space="0"/>
        </w:tcBorders>
      </w:tcPr>
    </w:tblStylePr>
    <w:tblStylePr w:type="band1Vert">
      <w:tblPr/>
      <w:tcPr>
        <w:tcBorders>
          <w:top w:val="single" w:color="75BD42" w:themeColor="accent4" w:sz="8" w:space="0"/>
          <w:left w:val="single" w:color="75BD42" w:themeColor="accent4" w:sz="8" w:space="0"/>
          <w:bottom w:val="single" w:color="75BD42" w:themeColor="accent4" w:sz="8" w:space="0"/>
          <w:right w:val="single" w:color="75BD42" w:themeColor="accent4" w:sz="8" w:space="0"/>
        </w:tcBorders>
        <w:shd w:val="clear" w:color="auto" w:fill="DCEED0" w:themeFill="accent4" w:themeFillTint="3F"/>
      </w:tcPr>
    </w:tblStylePr>
    <w:tblStylePr w:type="band1Horz">
      <w:tblPr/>
      <w:tcPr>
        <w:tcBorders>
          <w:top w:val="single" w:color="75BD42" w:themeColor="accent4" w:sz="8" w:space="0"/>
          <w:left w:val="single" w:color="75BD42" w:themeColor="accent4" w:sz="8" w:space="0"/>
          <w:bottom w:val="single" w:color="75BD42" w:themeColor="accent4" w:sz="8" w:space="0"/>
          <w:right w:val="single" w:color="75BD42" w:themeColor="accent4" w:sz="8" w:space="0"/>
          <w:insideV w:val="single" w:sz="8" w:space="0"/>
        </w:tcBorders>
        <w:shd w:val="clear" w:color="auto" w:fill="DCEED0" w:themeFill="accent4" w:themeFillTint="3F"/>
      </w:tcPr>
    </w:tblStylePr>
    <w:tblStylePr w:type="band2Horz">
      <w:tblPr/>
      <w:tcPr>
        <w:tcBorders>
          <w:top w:val="single" w:color="75BD42" w:themeColor="accent4" w:sz="8" w:space="0"/>
          <w:left w:val="single" w:color="75BD42" w:themeColor="accent4" w:sz="8" w:space="0"/>
          <w:bottom w:val="single" w:color="75BD42" w:themeColor="accent4" w:sz="8" w:space="0"/>
          <w:right w:val="single" w:color="75BD42" w:themeColor="accent4" w:sz="8" w:space="0"/>
          <w:insideV w:val="single" w:sz="8" w:space="0"/>
        </w:tcBorders>
      </w:tcPr>
    </w:tblStylePr>
  </w:style>
  <w:style w:type="table" w:styleId="56">
    <w:name w:val="Light Grid Accent 5"/>
    <w:basedOn w:val="35"/>
    <w:qFormat/>
    <w:uiPriority w:val="62"/>
    <w:pPr>
      <w:spacing w:after="0" w:line="240" w:lineRule="auto"/>
    </w:pPr>
    <w:tblPr>
      <w:tblBorders>
        <w:top w:val="single" w:color="30C0B4" w:themeColor="accent5" w:sz="8" w:space="0"/>
        <w:left w:val="single" w:color="30C0B4" w:themeColor="accent5" w:sz="8" w:space="0"/>
        <w:bottom w:val="single" w:color="30C0B4" w:themeColor="accent5" w:sz="8" w:space="0"/>
        <w:right w:val="single" w:color="30C0B4" w:themeColor="accent5" w:sz="8" w:space="0"/>
        <w:insideH w:val="single" w:color="30C0B4" w:themeColor="accent5" w:sz="8" w:space="0"/>
        <w:insideV w:val="single" w:color="30C0B4"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30C0B4" w:themeColor="accent5" w:sz="8" w:space="0"/>
          <w:left w:val="single" w:color="30C0B4" w:themeColor="accent5" w:sz="8" w:space="0"/>
          <w:bottom w:val="single" w:color="30C0B4" w:themeColor="accent5" w:sz="18" w:space="0"/>
          <w:right w:val="single" w:color="30C0B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0C0B4" w:themeColor="accent5" w:sz="6" w:space="0"/>
          <w:left w:val="single" w:color="30C0B4" w:themeColor="accent5" w:sz="8" w:space="0"/>
          <w:bottom w:val="single" w:color="30C0B4" w:themeColor="accent5" w:sz="8" w:space="0"/>
          <w:right w:val="single" w:color="30C0B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0C0B4" w:themeColor="accent5" w:sz="8" w:space="0"/>
          <w:left w:val="single" w:color="30C0B4" w:themeColor="accent5" w:sz="8" w:space="0"/>
          <w:bottom w:val="single" w:color="30C0B4" w:themeColor="accent5" w:sz="8" w:space="0"/>
          <w:right w:val="single" w:color="30C0B4" w:themeColor="accent5" w:sz="8" w:space="0"/>
        </w:tcBorders>
      </w:tcPr>
    </w:tblStylePr>
    <w:tblStylePr w:type="band1Vert">
      <w:tblPr/>
      <w:tcPr>
        <w:tcBorders>
          <w:top w:val="single" w:color="30C0B4" w:themeColor="accent5" w:sz="8" w:space="0"/>
          <w:left w:val="single" w:color="30C0B4" w:themeColor="accent5" w:sz="8" w:space="0"/>
          <w:bottom w:val="single" w:color="30C0B4" w:themeColor="accent5" w:sz="8" w:space="0"/>
          <w:right w:val="single" w:color="30C0B4" w:themeColor="accent5" w:sz="8" w:space="0"/>
        </w:tcBorders>
        <w:shd w:val="clear" w:color="auto" w:fill="C9F1EE" w:themeFill="accent5" w:themeFillTint="3F"/>
      </w:tcPr>
    </w:tblStylePr>
    <w:tblStylePr w:type="band1Horz">
      <w:tblPr/>
      <w:tcPr>
        <w:tcBorders>
          <w:top w:val="single" w:color="30C0B4" w:themeColor="accent5" w:sz="8" w:space="0"/>
          <w:left w:val="single" w:color="30C0B4" w:themeColor="accent5" w:sz="8" w:space="0"/>
          <w:bottom w:val="single" w:color="30C0B4" w:themeColor="accent5" w:sz="8" w:space="0"/>
          <w:right w:val="single" w:color="30C0B4" w:themeColor="accent5" w:sz="8" w:space="0"/>
          <w:insideV w:val="single" w:sz="8" w:space="0"/>
        </w:tcBorders>
        <w:shd w:val="clear" w:color="auto" w:fill="C9F1EE" w:themeFill="accent5" w:themeFillTint="3F"/>
      </w:tcPr>
    </w:tblStylePr>
    <w:tblStylePr w:type="band2Horz">
      <w:tblPr/>
      <w:tcPr>
        <w:tcBorders>
          <w:top w:val="single" w:color="30C0B4" w:themeColor="accent5" w:sz="8" w:space="0"/>
          <w:left w:val="single" w:color="30C0B4" w:themeColor="accent5" w:sz="8" w:space="0"/>
          <w:bottom w:val="single" w:color="30C0B4" w:themeColor="accent5" w:sz="8" w:space="0"/>
          <w:right w:val="single" w:color="30C0B4" w:themeColor="accent5" w:sz="8" w:space="0"/>
          <w:insideV w:val="single" w:sz="8" w:space="0"/>
        </w:tcBorders>
      </w:tcPr>
    </w:tblStylePr>
  </w:style>
  <w:style w:type="table" w:styleId="57">
    <w:name w:val="Light Grid Accent 6"/>
    <w:basedOn w:val="35"/>
    <w:qFormat/>
    <w:uiPriority w:val="62"/>
    <w:pPr>
      <w:spacing w:after="0" w:line="240" w:lineRule="auto"/>
    </w:pPr>
    <w:tblPr>
      <w:tblBorders>
        <w:top w:val="single" w:color="E54C5E" w:themeColor="accent6" w:sz="8" w:space="0"/>
        <w:left w:val="single" w:color="E54C5E" w:themeColor="accent6" w:sz="8" w:space="0"/>
        <w:bottom w:val="single" w:color="E54C5E" w:themeColor="accent6" w:sz="8" w:space="0"/>
        <w:right w:val="single" w:color="E54C5E" w:themeColor="accent6" w:sz="8" w:space="0"/>
        <w:insideH w:val="single" w:color="E54C5E" w:themeColor="accent6" w:sz="8" w:space="0"/>
        <w:insideV w:val="single" w:color="E54C5E"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54C5E" w:themeColor="accent6" w:sz="8" w:space="0"/>
          <w:left w:val="single" w:color="E54C5E" w:themeColor="accent6" w:sz="8" w:space="0"/>
          <w:bottom w:val="single" w:color="E54C5E" w:themeColor="accent6" w:sz="18" w:space="0"/>
          <w:right w:val="single" w:color="E54C5E"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54C5E" w:themeColor="accent6" w:sz="6" w:space="0"/>
          <w:left w:val="single" w:color="E54C5E" w:themeColor="accent6" w:sz="8" w:space="0"/>
          <w:bottom w:val="single" w:color="E54C5E" w:themeColor="accent6" w:sz="8" w:space="0"/>
          <w:right w:val="single" w:color="E54C5E"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54C5E" w:themeColor="accent6" w:sz="8" w:space="0"/>
          <w:left w:val="single" w:color="E54C5E" w:themeColor="accent6" w:sz="8" w:space="0"/>
          <w:bottom w:val="single" w:color="E54C5E" w:themeColor="accent6" w:sz="8" w:space="0"/>
          <w:right w:val="single" w:color="E54C5E" w:themeColor="accent6" w:sz="8" w:space="0"/>
        </w:tcBorders>
      </w:tcPr>
    </w:tblStylePr>
    <w:tblStylePr w:type="band1Vert">
      <w:tblPr/>
      <w:tcPr>
        <w:tcBorders>
          <w:top w:val="single" w:color="E54C5E" w:themeColor="accent6" w:sz="8" w:space="0"/>
          <w:left w:val="single" w:color="E54C5E" w:themeColor="accent6" w:sz="8" w:space="0"/>
          <w:bottom w:val="single" w:color="E54C5E" w:themeColor="accent6" w:sz="8" w:space="0"/>
          <w:right w:val="single" w:color="E54C5E" w:themeColor="accent6" w:sz="8" w:space="0"/>
        </w:tcBorders>
        <w:shd w:val="clear" w:color="auto" w:fill="F8D2D7" w:themeFill="accent6" w:themeFillTint="3F"/>
      </w:tcPr>
    </w:tblStylePr>
    <w:tblStylePr w:type="band1Horz">
      <w:tblPr/>
      <w:tcPr>
        <w:tcBorders>
          <w:top w:val="single" w:color="E54C5E" w:themeColor="accent6" w:sz="8" w:space="0"/>
          <w:left w:val="single" w:color="E54C5E" w:themeColor="accent6" w:sz="8" w:space="0"/>
          <w:bottom w:val="single" w:color="E54C5E" w:themeColor="accent6" w:sz="8" w:space="0"/>
          <w:right w:val="single" w:color="E54C5E" w:themeColor="accent6" w:sz="8" w:space="0"/>
          <w:insideV w:val="single" w:sz="8" w:space="0"/>
        </w:tcBorders>
        <w:shd w:val="clear" w:color="auto" w:fill="F8D2D7" w:themeFill="accent6" w:themeFillTint="3F"/>
      </w:tcPr>
    </w:tblStylePr>
    <w:tblStylePr w:type="band2Horz">
      <w:tblPr/>
      <w:tcPr>
        <w:tcBorders>
          <w:top w:val="single" w:color="E54C5E" w:themeColor="accent6" w:sz="8" w:space="0"/>
          <w:left w:val="single" w:color="E54C5E" w:themeColor="accent6" w:sz="8" w:space="0"/>
          <w:bottom w:val="single" w:color="E54C5E" w:themeColor="accent6" w:sz="8" w:space="0"/>
          <w:right w:val="single" w:color="E54C5E" w:themeColor="accent6" w:sz="8" w:space="0"/>
          <w:insideV w:val="single" w:sz="8" w:space="0"/>
        </w:tcBorders>
      </w:tcPr>
    </w:tblStylePr>
  </w:style>
  <w:style w:type="table" w:styleId="58">
    <w:name w:val="Medium Shading 1"/>
    <w:basedOn w:val="35"/>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9">
    <w:name w:val="Medium Shading 1 Accent 1"/>
    <w:basedOn w:val="35"/>
    <w:qFormat/>
    <w:uiPriority w:val="63"/>
    <w:pPr>
      <w:spacing w:after="0" w:line="240" w:lineRule="auto"/>
    </w:pPr>
    <w:tblPr>
      <w:tblBorders>
        <w:top w:val="single" w:color="7596D8" w:themeColor="accent1" w:themeTint="BF" w:sz="8" w:space="0"/>
        <w:left w:val="single" w:color="7596D8" w:themeColor="accent1" w:themeTint="BF" w:sz="8" w:space="0"/>
        <w:bottom w:val="single" w:color="7596D8" w:themeColor="accent1" w:themeTint="BF" w:sz="8" w:space="0"/>
        <w:right w:val="single" w:color="7596D8" w:themeColor="accent1" w:themeTint="BF" w:sz="8" w:space="0"/>
        <w:insideH w:val="single" w:color="7596D8"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596D8" w:themeColor="accent1" w:themeTint="BF" w:sz="8" w:space="0"/>
          <w:left w:val="single" w:color="7596D8" w:themeColor="accent1" w:themeTint="BF" w:sz="8" w:space="0"/>
          <w:bottom w:val="single" w:color="7596D8" w:themeColor="accent1" w:themeTint="BF" w:sz="8" w:space="0"/>
          <w:right w:val="single" w:color="7596D8" w:themeColor="accent1" w:themeTint="BF" w:sz="8" w:space="0"/>
          <w:insideH w:val="nil"/>
          <w:insideV w:val="nil"/>
        </w:tcBorders>
        <w:shd w:val="clear" w:color="auto" w:fill="4874CB" w:themeFill="accent1"/>
      </w:tcPr>
    </w:tblStylePr>
    <w:tblStylePr w:type="lastRow">
      <w:pPr>
        <w:spacing w:before="0" w:after="0" w:line="240" w:lineRule="auto"/>
      </w:pPr>
      <w:rPr>
        <w:b/>
        <w:bCs/>
      </w:rPr>
      <w:tblPr/>
      <w:tcPr>
        <w:tcBorders>
          <w:top w:val="double" w:color="7596D8" w:themeColor="accent1" w:themeTint="BF" w:sz="6" w:space="0"/>
          <w:left w:val="single" w:color="7596D8" w:themeColor="accent1" w:themeTint="BF" w:sz="8" w:space="0"/>
          <w:bottom w:val="single" w:color="7596D8" w:themeColor="accent1" w:themeTint="BF" w:sz="8" w:space="0"/>
          <w:right w:val="single" w:color="7596D8"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1DCF2" w:themeFill="accent1" w:themeFillTint="3F"/>
      </w:tcPr>
    </w:tblStylePr>
    <w:tblStylePr w:type="band1Horz">
      <w:tblPr/>
      <w:tcPr>
        <w:tcBorders>
          <w:insideH w:val="nil"/>
          <w:insideV w:val="nil"/>
        </w:tcBorders>
        <w:shd w:val="clear" w:color="auto" w:fill="D1DCF2" w:themeFill="accent1" w:themeFillTint="3F"/>
      </w:tcPr>
    </w:tblStylePr>
    <w:tblStylePr w:type="band2Horz">
      <w:tblPr/>
      <w:tcPr>
        <w:tcBorders>
          <w:insideH w:val="nil"/>
          <w:insideV w:val="nil"/>
        </w:tcBorders>
      </w:tcPr>
    </w:tblStylePr>
  </w:style>
  <w:style w:type="table" w:styleId="60">
    <w:name w:val="Medium Shading 1 Accent 2"/>
    <w:basedOn w:val="35"/>
    <w:qFormat/>
    <w:uiPriority w:val="63"/>
    <w:pPr>
      <w:spacing w:after="0" w:line="240" w:lineRule="auto"/>
    </w:pPr>
    <w:tblPr>
      <w:tblBorders>
        <w:top w:val="single" w:color="F2A163" w:themeColor="accent2" w:themeTint="BF" w:sz="8" w:space="0"/>
        <w:left w:val="single" w:color="F2A163" w:themeColor="accent2" w:themeTint="BF" w:sz="8" w:space="0"/>
        <w:bottom w:val="single" w:color="F2A163" w:themeColor="accent2" w:themeTint="BF" w:sz="8" w:space="0"/>
        <w:right w:val="single" w:color="F2A163" w:themeColor="accent2" w:themeTint="BF" w:sz="8" w:space="0"/>
        <w:insideH w:val="single" w:color="F2A163"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2A163" w:themeColor="accent2" w:themeTint="BF" w:sz="8" w:space="0"/>
          <w:left w:val="single" w:color="F2A163" w:themeColor="accent2" w:themeTint="BF" w:sz="8" w:space="0"/>
          <w:bottom w:val="single" w:color="F2A163" w:themeColor="accent2" w:themeTint="BF" w:sz="8" w:space="0"/>
          <w:right w:val="single" w:color="F2A163" w:themeColor="accent2" w:themeTint="BF" w:sz="8" w:space="0"/>
          <w:insideH w:val="nil"/>
          <w:insideV w:val="nil"/>
        </w:tcBorders>
        <w:shd w:val="clear" w:color="auto" w:fill="EE822F" w:themeFill="accent2"/>
      </w:tcPr>
    </w:tblStylePr>
    <w:tblStylePr w:type="lastRow">
      <w:pPr>
        <w:spacing w:before="0" w:after="0" w:line="240" w:lineRule="auto"/>
      </w:pPr>
      <w:rPr>
        <w:b/>
        <w:bCs/>
      </w:rPr>
      <w:tblPr/>
      <w:tcPr>
        <w:tcBorders>
          <w:top w:val="double" w:color="F2A163" w:themeColor="accent2" w:themeTint="BF" w:sz="6" w:space="0"/>
          <w:left w:val="single" w:color="F2A163" w:themeColor="accent2" w:themeTint="BF" w:sz="8" w:space="0"/>
          <w:bottom w:val="single" w:color="F2A163" w:themeColor="accent2" w:themeTint="BF" w:sz="8" w:space="0"/>
          <w:right w:val="single" w:color="F2A163"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E0CB" w:themeFill="accent2" w:themeFillTint="3F"/>
      </w:tcPr>
    </w:tblStylePr>
    <w:tblStylePr w:type="band1Horz">
      <w:tblPr/>
      <w:tcPr>
        <w:tcBorders>
          <w:insideH w:val="nil"/>
          <w:insideV w:val="nil"/>
        </w:tcBorders>
        <w:shd w:val="clear" w:color="auto" w:fill="FAE0CB" w:themeFill="accent2" w:themeFillTint="3F"/>
      </w:tcPr>
    </w:tblStylePr>
    <w:tblStylePr w:type="band2Horz">
      <w:tblPr/>
      <w:tcPr>
        <w:tcBorders>
          <w:insideH w:val="nil"/>
          <w:insideV w:val="nil"/>
        </w:tcBorders>
      </w:tcPr>
    </w:tblStylePr>
  </w:style>
  <w:style w:type="table" w:styleId="61">
    <w:name w:val="Medium Shading 1 Accent 3"/>
    <w:basedOn w:val="35"/>
    <w:qFormat/>
    <w:uiPriority w:val="63"/>
    <w:pPr>
      <w:spacing w:after="0" w:line="240" w:lineRule="auto"/>
    </w:pPr>
    <w:tblPr>
      <w:tblBorders>
        <w:top w:val="single" w:color="FDCF39" w:themeColor="accent3" w:themeTint="BF" w:sz="8" w:space="0"/>
        <w:left w:val="single" w:color="FDCF39" w:themeColor="accent3" w:themeTint="BF" w:sz="8" w:space="0"/>
        <w:bottom w:val="single" w:color="FDCF39" w:themeColor="accent3" w:themeTint="BF" w:sz="8" w:space="0"/>
        <w:right w:val="single" w:color="FDCF39" w:themeColor="accent3" w:themeTint="BF" w:sz="8" w:space="0"/>
        <w:insideH w:val="single" w:color="FDCF39"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DCF39" w:themeColor="accent3" w:themeTint="BF" w:sz="8" w:space="0"/>
          <w:left w:val="single" w:color="FDCF39" w:themeColor="accent3" w:themeTint="BF" w:sz="8" w:space="0"/>
          <w:bottom w:val="single" w:color="FDCF39" w:themeColor="accent3" w:themeTint="BF" w:sz="8" w:space="0"/>
          <w:right w:val="single" w:color="FDCF39" w:themeColor="accent3" w:themeTint="BF" w:sz="8" w:space="0"/>
          <w:insideH w:val="nil"/>
          <w:insideV w:val="nil"/>
        </w:tcBorders>
        <w:shd w:val="clear" w:color="auto" w:fill="F2BA02" w:themeFill="accent3"/>
      </w:tcPr>
    </w:tblStylePr>
    <w:tblStylePr w:type="lastRow">
      <w:pPr>
        <w:spacing w:before="0" w:after="0" w:line="240" w:lineRule="auto"/>
      </w:pPr>
      <w:rPr>
        <w:b/>
        <w:bCs/>
      </w:rPr>
      <w:tblPr/>
      <w:tcPr>
        <w:tcBorders>
          <w:top w:val="double" w:color="FDCF39" w:themeColor="accent3" w:themeTint="BF" w:sz="6" w:space="0"/>
          <w:left w:val="single" w:color="FDCF39" w:themeColor="accent3" w:themeTint="BF" w:sz="8" w:space="0"/>
          <w:bottom w:val="single" w:color="FDCF39" w:themeColor="accent3" w:themeTint="BF" w:sz="8" w:space="0"/>
          <w:right w:val="single" w:color="FDCF39"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EEFBD" w:themeFill="accent3" w:themeFillTint="3F"/>
      </w:tcPr>
    </w:tblStylePr>
    <w:tblStylePr w:type="band1Horz">
      <w:tblPr/>
      <w:tcPr>
        <w:tcBorders>
          <w:insideH w:val="nil"/>
          <w:insideV w:val="nil"/>
        </w:tcBorders>
        <w:shd w:val="clear" w:color="auto" w:fill="FEEFBD" w:themeFill="accent3" w:themeFillTint="3F"/>
      </w:tcPr>
    </w:tblStylePr>
    <w:tblStylePr w:type="band2Horz">
      <w:tblPr/>
      <w:tcPr>
        <w:tcBorders>
          <w:insideH w:val="nil"/>
          <w:insideV w:val="nil"/>
        </w:tcBorders>
      </w:tcPr>
    </w:tblStylePr>
  </w:style>
  <w:style w:type="table" w:styleId="62">
    <w:name w:val="Medium Shading 1 Accent 4"/>
    <w:basedOn w:val="35"/>
    <w:qFormat/>
    <w:uiPriority w:val="63"/>
    <w:pPr>
      <w:spacing w:after="0" w:line="240" w:lineRule="auto"/>
    </w:pPr>
    <w:tblPr>
      <w:tblBorders>
        <w:top w:val="single" w:color="97CD71" w:themeColor="accent4" w:themeTint="BF" w:sz="8" w:space="0"/>
        <w:left w:val="single" w:color="97CD71" w:themeColor="accent4" w:themeTint="BF" w:sz="8" w:space="0"/>
        <w:bottom w:val="single" w:color="97CD71" w:themeColor="accent4" w:themeTint="BF" w:sz="8" w:space="0"/>
        <w:right w:val="single" w:color="97CD71" w:themeColor="accent4" w:themeTint="BF" w:sz="8" w:space="0"/>
        <w:insideH w:val="single" w:color="97CD71"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7CD71" w:themeColor="accent4" w:themeTint="BF" w:sz="8" w:space="0"/>
          <w:left w:val="single" w:color="97CD71" w:themeColor="accent4" w:themeTint="BF" w:sz="8" w:space="0"/>
          <w:bottom w:val="single" w:color="97CD71" w:themeColor="accent4" w:themeTint="BF" w:sz="8" w:space="0"/>
          <w:right w:val="single" w:color="97CD71" w:themeColor="accent4" w:themeTint="BF" w:sz="8" w:space="0"/>
          <w:insideH w:val="nil"/>
          <w:insideV w:val="nil"/>
        </w:tcBorders>
        <w:shd w:val="clear" w:color="auto" w:fill="75BD42" w:themeFill="accent4"/>
      </w:tcPr>
    </w:tblStylePr>
    <w:tblStylePr w:type="lastRow">
      <w:pPr>
        <w:spacing w:before="0" w:after="0" w:line="240" w:lineRule="auto"/>
      </w:pPr>
      <w:rPr>
        <w:b/>
        <w:bCs/>
      </w:rPr>
      <w:tblPr/>
      <w:tcPr>
        <w:tcBorders>
          <w:top w:val="double" w:color="97CD71" w:themeColor="accent4" w:themeTint="BF" w:sz="6" w:space="0"/>
          <w:left w:val="single" w:color="97CD71" w:themeColor="accent4" w:themeTint="BF" w:sz="8" w:space="0"/>
          <w:bottom w:val="single" w:color="97CD71" w:themeColor="accent4" w:themeTint="BF" w:sz="8" w:space="0"/>
          <w:right w:val="single" w:color="97CD71"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CEED0" w:themeFill="accent4" w:themeFillTint="3F"/>
      </w:tcPr>
    </w:tblStylePr>
    <w:tblStylePr w:type="band1Horz">
      <w:tblPr/>
      <w:tcPr>
        <w:tcBorders>
          <w:insideH w:val="nil"/>
          <w:insideV w:val="nil"/>
        </w:tcBorders>
        <w:shd w:val="clear" w:color="auto" w:fill="DCEED0" w:themeFill="accent4" w:themeFillTint="3F"/>
      </w:tcPr>
    </w:tblStylePr>
    <w:tblStylePr w:type="band2Horz">
      <w:tblPr/>
      <w:tcPr>
        <w:tcBorders>
          <w:insideH w:val="nil"/>
          <w:insideV w:val="nil"/>
        </w:tcBorders>
      </w:tcPr>
    </w:tblStylePr>
  </w:style>
  <w:style w:type="table" w:styleId="63">
    <w:name w:val="Medium Shading 1 Accent 5"/>
    <w:basedOn w:val="35"/>
    <w:qFormat/>
    <w:uiPriority w:val="63"/>
    <w:pPr>
      <w:spacing w:after="0" w:line="240" w:lineRule="auto"/>
    </w:pPr>
    <w:tblPr>
      <w:tblBorders>
        <w:top w:val="single" w:color="5DD6CC" w:themeColor="accent5" w:themeTint="BF" w:sz="8" w:space="0"/>
        <w:left w:val="single" w:color="5DD6CC" w:themeColor="accent5" w:themeTint="BF" w:sz="8" w:space="0"/>
        <w:bottom w:val="single" w:color="5DD6CC" w:themeColor="accent5" w:themeTint="BF" w:sz="8" w:space="0"/>
        <w:right w:val="single" w:color="5DD6CC" w:themeColor="accent5" w:themeTint="BF" w:sz="8" w:space="0"/>
        <w:insideH w:val="single" w:color="5DD6CC"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5DD6CC" w:themeColor="accent5" w:themeTint="BF" w:sz="8" w:space="0"/>
          <w:left w:val="single" w:color="5DD6CC" w:themeColor="accent5" w:themeTint="BF" w:sz="8" w:space="0"/>
          <w:bottom w:val="single" w:color="5DD6CC" w:themeColor="accent5" w:themeTint="BF" w:sz="8" w:space="0"/>
          <w:right w:val="single" w:color="5DD6CC" w:themeColor="accent5" w:themeTint="BF" w:sz="8" w:space="0"/>
          <w:insideH w:val="nil"/>
          <w:insideV w:val="nil"/>
        </w:tcBorders>
        <w:shd w:val="clear" w:color="auto" w:fill="30C0B4" w:themeFill="accent5"/>
      </w:tcPr>
    </w:tblStylePr>
    <w:tblStylePr w:type="lastRow">
      <w:pPr>
        <w:spacing w:before="0" w:after="0" w:line="240" w:lineRule="auto"/>
      </w:pPr>
      <w:rPr>
        <w:b/>
        <w:bCs/>
      </w:rPr>
      <w:tblPr/>
      <w:tcPr>
        <w:tcBorders>
          <w:top w:val="double" w:color="5DD6CC" w:themeColor="accent5" w:themeTint="BF" w:sz="6" w:space="0"/>
          <w:left w:val="single" w:color="5DD6CC" w:themeColor="accent5" w:themeTint="BF" w:sz="8" w:space="0"/>
          <w:bottom w:val="single" w:color="5DD6CC" w:themeColor="accent5" w:themeTint="BF" w:sz="8" w:space="0"/>
          <w:right w:val="single" w:color="5DD6CC"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C9F1EE" w:themeFill="accent5" w:themeFillTint="3F"/>
      </w:tcPr>
    </w:tblStylePr>
    <w:tblStylePr w:type="band1Horz">
      <w:tblPr/>
      <w:tcPr>
        <w:tcBorders>
          <w:insideH w:val="nil"/>
          <w:insideV w:val="nil"/>
        </w:tcBorders>
        <w:shd w:val="clear" w:color="auto" w:fill="C9F1EE" w:themeFill="accent5" w:themeFillTint="3F"/>
      </w:tcPr>
    </w:tblStylePr>
    <w:tblStylePr w:type="band2Horz">
      <w:tblPr/>
      <w:tcPr>
        <w:tcBorders>
          <w:insideH w:val="nil"/>
          <w:insideV w:val="nil"/>
        </w:tcBorders>
      </w:tcPr>
    </w:tblStylePr>
  </w:style>
  <w:style w:type="table" w:styleId="64">
    <w:name w:val="Medium Shading 1 Accent 6"/>
    <w:basedOn w:val="35"/>
    <w:qFormat/>
    <w:uiPriority w:val="63"/>
    <w:pPr>
      <w:spacing w:after="0" w:line="240" w:lineRule="auto"/>
    </w:pPr>
    <w:tblPr>
      <w:tblBorders>
        <w:top w:val="single" w:color="EB7886" w:themeColor="accent6" w:themeTint="BF" w:sz="8" w:space="0"/>
        <w:left w:val="single" w:color="EB7886" w:themeColor="accent6" w:themeTint="BF" w:sz="8" w:space="0"/>
        <w:bottom w:val="single" w:color="EB7886" w:themeColor="accent6" w:themeTint="BF" w:sz="8" w:space="0"/>
        <w:right w:val="single" w:color="EB7886" w:themeColor="accent6" w:themeTint="BF" w:sz="8" w:space="0"/>
        <w:insideH w:val="single" w:color="EB7886"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EB7886" w:themeColor="accent6" w:themeTint="BF" w:sz="8" w:space="0"/>
          <w:left w:val="single" w:color="EB7886" w:themeColor="accent6" w:themeTint="BF" w:sz="8" w:space="0"/>
          <w:bottom w:val="single" w:color="EB7886" w:themeColor="accent6" w:themeTint="BF" w:sz="8" w:space="0"/>
          <w:right w:val="single" w:color="EB7886" w:themeColor="accent6" w:themeTint="BF" w:sz="8" w:space="0"/>
          <w:insideH w:val="nil"/>
          <w:insideV w:val="nil"/>
        </w:tcBorders>
        <w:shd w:val="clear" w:color="auto" w:fill="E54C5E" w:themeFill="accent6"/>
      </w:tcPr>
    </w:tblStylePr>
    <w:tblStylePr w:type="lastRow">
      <w:pPr>
        <w:spacing w:before="0" w:after="0" w:line="240" w:lineRule="auto"/>
      </w:pPr>
      <w:rPr>
        <w:b/>
        <w:bCs/>
      </w:rPr>
      <w:tblPr/>
      <w:tcPr>
        <w:tcBorders>
          <w:top w:val="double" w:color="EB7886" w:themeColor="accent6" w:themeTint="BF" w:sz="6" w:space="0"/>
          <w:left w:val="single" w:color="EB7886" w:themeColor="accent6" w:themeTint="BF" w:sz="8" w:space="0"/>
          <w:bottom w:val="single" w:color="EB7886" w:themeColor="accent6" w:themeTint="BF" w:sz="8" w:space="0"/>
          <w:right w:val="single" w:color="EB788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8D2D7" w:themeFill="accent6" w:themeFillTint="3F"/>
      </w:tcPr>
    </w:tblStylePr>
    <w:tblStylePr w:type="band1Horz">
      <w:tblPr/>
      <w:tcPr>
        <w:tcBorders>
          <w:insideH w:val="nil"/>
          <w:insideV w:val="nil"/>
        </w:tcBorders>
        <w:shd w:val="clear" w:color="auto" w:fill="F8D2D7" w:themeFill="accent6" w:themeFillTint="3F"/>
      </w:tcPr>
    </w:tblStylePr>
    <w:tblStylePr w:type="band2Horz">
      <w:tblPr/>
      <w:tcPr>
        <w:tcBorders>
          <w:insideH w:val="nil"/>
          <w:insideV w:val="nil"/>
        </w:tcBorders>
      </w:tcPr>
    </w:tblStylePr>
  </w:style>
  <w:style w:type="table" w:styleId="65">
    <w:name w:val="Medium Shading 2"/>
    <w:basedOn w:val="35"/>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1"/>
    <w:basedOn w:val="35"/>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874CB"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874CB"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874CB"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2"/>
    <w:basedOn w:val="35"/>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E822F"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E822F"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E822F"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3"/>
    <w:basedOn w:val="35"/>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2BA02"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2BA02"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2BA02"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4"/>
    <w:basedOn w:val="35"/>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5BD4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75BD4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5BD4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5"/>
    <w:basedOn w:val="35"/>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30C0B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30C0B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30C0B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6"/>
    <w:basedOn w:val="35"/>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54C5E"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54C5E"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54C5E"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List 1"/>
    <w:basedOn w:val="35"/>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3">
    <w:name w:val="Medium List 1 Accent 1"/>
    <w:basedOn w:val="35"/>
    <w:qFormat/>
    <w:uiPriority w:val="65"/>
    <w:pPr>
      <w:spacing w:after="0" w:line="240" w:lineRule="auto"/>
    </w:pPr>
    <w:rPr>
      <w:color w:val="000000" w:themeColor="text1"/>
      <w14:textFill>
        <w14:solidFill>
          <w14:schemeClr w14:val="tx1"/>
        </w14:solidFill>
      </w14:textFill>
    </w:rPr>
    <w:tblPr>
      <w:tblBorders>
        <w:top w:val="single" w:color="4874CB" w:themeColor="accent1" w:sz="8" w:space="0"/>
        <w:bottom w:val="single" w:color="4874CB"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874CB" w:themeColor="accent1" w:sz="8" w:space="0"/>
        </w:tcBorders>
      </w:tcPr>
    </w:tblStylePr>
    <w:tblStylePr w:type="lastRow">
      <w:rPr>
        <w:b/>
        <w:bCs/>
        <w:color w:val="44546A" w:themeColor="text2"/>
        <w14:textFill>
          <w14:solidFill>
            <w14:schemeClr w14:val="tx2"/>
          </w14:solidFill>
        </w14:textFill>
      </w:rPr>
      <w:tblPr/>
      <w:tcPr>
        <w:tcBorders>
          <w:top w:val="single" w:color="4874CB" w:themeColor="accent1" w:sz="8" w:space="0"/>
          <w:bottom w:val="single" w:color="4874CB" w:themeColor="accent1" w:sz="8" w:space="0"/>
        </w:tcBorders>
      </w:tcPr>
    </w:tblStylePr>
    <w:tblStylePr w:type="firstCol">
      <w:rPr>
        <w:b/>
        <w:bCs/>
      </w:rPr>
    </w:tblStylePr>
    <w:tblStylePr w:type="lastCol">
      <w:rPr>
        <w:b/>
        <w:bCs/>
      </w:rPr>
      <w:tblPr/>
      <w:tcPr>
        <w:tcBorders>
          <w:top w:val="single" w:color="4874CB" w:themeColor="accent1" w:sz="8" w:space="0"/>
          <w:bottom w:val="single" w:color="4874CB" w:themeColor="accent1" w:sz="8" w:space="0"/>
        </w:tcBorders>
      </w:tcPr>
    </w:tblStylePr>
    <w:tblStylePr w:type="band1Vert">
      <w:tblPr/>
      <w:tcPr>
        <w:shd w:val="clear" w:color="auto" w:fill="D1DCF2" w:themeFill="accent1" w:themeFillTint="3F"/>
      </w:tcPr>
    </w:tblStylePr>
    <w:tblStylePr w:type="band1Horz">
      <w:tblPr/>
      <w:tcPr>
        <w:shd w:val="clear" w:color="auto" w:fill="D1DCF2" w:themeFill="accent1" w:themeFillTint="3F"/>
      </w:tcPr>
    </w:tblStylePr>
  </w:style>
  <w:style w:type="table" w:styleId="74">
    <w:name w:val="Medium List 1 Accent 2"/>
    <w:basedOn w:val="35"/>
    <w:qFormat/>
    <w:uiPriority w:val="65"/>
    <w:pPr>
      <w:spacing w:after="0" w:line="240" w:lineRule="auto"/>
    </w:pPr>
    <w:rPr>
      <w:color w:val="000000" w:themeColor="text1"/>
      <w14:textFill>
        <w14:solidFill>
          <w14:schemeClr w14:val="tx1"/>
        </w14:solidFill>
      </w14:textFill>
    </w:rPr>
    <w:tblPr>
      <w:tblBorders>
        <w:top w:val="single" w:color="EE822F" w:themeColor="accent2" w:sz="8" w:space="0"/>
        <w:bottom w:val="single" w:color="EE822F"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EE822F" w:themeColor="accent2" w:sz="8" w:space="0"/>
        </w:tcBorders>
      </w:tcPr>
    </w:tblStylePr>
    <w:tblStylePr w:type="lastRow">
      <w:rPr>
        <w:b/>
        <w:bCs/>
        <w:color w:val="44546A" w:themeColor="text2"/>
        <w14:textFill>
          <w14:solidFill>
            <w14:schemeClr w14:val="tx2"/>
          </w14:solidFill>
        </w14:textFill>
      </w:rPr>
      <w:tblPr/>
      <w:tcPr>
        <w:tcBorders>
          <w:top w:val="single" w:color="EE822F" w:themeColor="accent2" w:sz="8" w:space="0"/>
          <w:bottom w:val="single" w:color="EE822F" w:themeColor="accent2" w:sz="8" w:space="0"/>
        </w:tcBorders>
      </w:tcPr>
    </w:tblStylePr>
    <w:tblStylePr w:type="firstCol">
      <w:rPr>
        <w:b/>
        <w:bCs/>
      </w:rPr>
    </w:tblStylePr>
    <w:tblStylePr w:type="lastCol">
      <w:rPr>
        <w:b/>
        <w:bCs/>
      </w:rPr>
      <w:tblPr/>
      <w:tcPr>
        <w:tcBorders>
          <w:top w:val="single" w:color="EE822F" w:themeColor="accent2" w:sz="8" w:space="0"/>
          <w:bottom w:val="single" w:color="EE822F" w:themeColor="accent2" w:sz="8" w:space="0"/>
        </w:tcBorders>
      </w:tcPr>
    </w:tblStylePr>
    <w:tblStylePr w:type="band1Vert">
      <w:tblPr/>
      <w:tcPr>
        <w:shd w:val="clear" w:color="auto" w:fill="FAE0CB" w:themeFill="accent2" w:themeFillTint="3F"/>
      </w:tcPr>
    </w:tblStylePr>
    <w:tblStylePr w:type="band1Horz">
      <w:tblPr/>
      <w:tcPr>
        <w:shd w:val="clear" w:color="auto" w:fill="FAE0CB" w:themeFill="accent2" w:themeFillTint="3F"/>
      </w:tcPr>
    </w:tblStylePr>
  </w:style>
  <w:style w:type="table" w:styleId="75">
    <w:name w:val="Medium List 1 Accent 3"/>
    <w:basedOn w:val="35"/>
    <w:qFormat/>
    <w:uiPriority w:val="65"/>
    <w:pPr>
      <w:spacing w:after="0" w:line="240" w:lineRule="auto"/>
    </w:pPr>
    <w:rPr>
      <w:color w:val="000000" w:themeColor="text1"/>
      <w14:textFill>
        <w14:solidFill>
          <w14:schemeClr w14:val="tx1"/>
        </w14:solidFill>
      </w14:textFill>
    </w:rPr>
    <w:tblPr>
      <w:tblBorders>
        <w:top w:val="single" w:color="F2BA02" w:themeColor="accent3" w:sz="8" w:space="0"/>
        <w:bottom w:val="single" w:color="F2BA02"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2BA02" w:themeColor="accent3" w:sz="8" w:space="0"/>
        </w:tcBorders>
      </w:tcPr>
    </w:tblStylePr>
    <w:tblStylePr w:type="lastRow">
      <w:rPr>
        <w:b/>
        <w:bCs/>
        <w:color w:val="44546A" w:themeColor="text2"/>
        <w14:textFill>
          <w14:solidFill>
            <w14:schemeClr w14:val="tx2"/>
          </w14:solidFill>
        </w14:textFill>
      </w:rPr>
      <w:tblPr/>
      <w:tcPr>
        <w:tcBorders>
          <w:top w:val="single" w:color="F2BA02" w:themeColor="accent3" w:sz="8" w:space="0"/>
          <w:bottom w:val="single" w:color="F2BA02" w:themeColor="accent3" w:sz="8" w:space="0"/>
        </w:tcBorders>
      </w:tcPr>
    </w:tblStylePr>
    <w:tblStylePr w:type="firstCol">
      <w:rPr>
        <w:b/>
        <w:bCs/>
      </w:rPr>
    </w:tblStylePr>
    <w:tblStylePr w:type="lastCol">
      <w:rPr>
        <w:b/>
        <w:bCs/>
      </w:rPr>
      <w:tblPr/>
      <w:tcPr>
        <w:tcBorders>
          <w:top w:val="single" w:color="F2BA02" w:themeColor="accent3" w:sz="8" w:space="0"/>
          <w:bottom w:val="single" w:color="F2BA02" w:themeColor="accent3" w:sz="8" w:space="0"/>
        </w:tcBorders>
      </w:tcPr>
    </w:tblStylePr>
    <w:tblStylePr w:type="band1Vert">
      <w:tblPr/>
      <w:tcPr>
        <w:shd w:val="clear" w:color="auto" w:fill="FEEFBD" w:themeFill="accent3" w:themeFillTint="3F"/>
      </w:tcPr>
    </w:tblStylePr>
    <w:tblStylePr w:type="band1Horz">
      <w:tblPr/>
      <w:tcPr>
        <w:shd w:val="clear" w:color="auto" w:fill="FEEFBD" w:themeFill="accent3" w:themeFillTint="3F"/>
      </w:tcPr>
    </w:tblStylePr>
  </w:style>
  <w:style w:type="table" w:styleId="76">
    <w:name w:val="Medium List 1 Accent 4"/>
    <w:basedOn w:val="35"/>
    <w:qFormat/>
    <w:uiPriority w:val="65"/>
    <w:pPr>
      <w:spacing w:after="0" w:line="240" w:lineRule="auto"/>
    </w:pPr>
    <w:rPr>
      <w:color w:val="000000" w:themeColor="text1"/>
      <w14:textFill>
        <w14:solidFill>
          <w14:schemeClr w14:val="tx1"/>
        </w14:solidFill>
      </w14:textFill>
    </w:rPr>
    <w:tblPr>
      <w:tblBorders>
        <w:top w:val="single" w:color="75BD42" w:themeColor="accent4" w:sz="8" w:space="0"/>
        <w:bottom w:val="single" w:color="75BD4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75BD42" w:themeColor="accent4" w:sz="8" w:space="0"/>
        </w:tcBorders>
      </w:tcPr>
    </w:tblStylePr>
    <w:tblStylePr w:type="lastRow">
      <w:rPr>
        <w:b/>
        <w:bCs/>
        <w:color w:val="44546A" w:themeColor="text2"/>
        <w14:textFill>
          <w14:solidFill>
            <w14:schemeClr w14:val="tx2"/>
          </w14:solidFill>
        </w14:textFill>
      </w:rPr>
      <w:tblPr/>
      <w:tcPr>
        <w:tcBorders>
          <w:top w:val="single" w:color="75BD42" w:themeColor="accent4" w:sz="8" w:space="0"/>
          <w:bottom w:val="single" w:color="75BD42" w:themeColor="accent4" w:sz="8" w:space="0"/>
        </w:tcBorders>
      </w:tcPr>
    </w:tblStylePr>
    <w:tblStylePr w:type="firstCol">
      <w:rPr>
        <w:b/>
        <w:bCs/>
      </w:rPr>
    </w:tblStylePr>
    <w:tblStylePr w:type="lastCol">
      <w:rPr>
        <w:b/>
        <w:bCs/>
      </w:rPr>
      <w:tblPr/>
      <w:tcPr>
        <w:tcBorders>
          <w:top w:val="single" w:color="75BD42" w:themeColor="accent4" w:sz="8" w:space="0"/>
          <w:bottom w:val="single" w:color="75BD42" w:themeColor="accent4" w:sz="8" w:space="0"/>
        </w:tcBorders>
      </w:tcPr>
    </w:tblStylePr>
    <w:tblStylePr w:type="band1Vert">
      <w:tblPr/>
      <w:tcPr>
        <w:shd w:val="clear" w:color="auto" w:fill="DCEED0" w:themeFill="accent4" w:themeFillTint="3F"/>
      </w:tcPr>
    </w:tblStylePr>
    <w:tblStylePr w:type="band1Horz">
      <w:tblPr/>
      <w:tcPr>
        <w:shd w:val="clear" w:color="auto" w:fill="DCEED0" w:themeFill="accent4" w:themeFillTint="3F"/>
      </w:tcPr>
    </w:tblStylePr>
  </w:style>
  <w:style w:type="table" w:styleId="77">
    <w:name w:val="Medium List 1 Accent 5"/>
    <w:basedOn w:val="35"/>
    <w:qFormat/>
    <w:uiPriority w:val="65"/>
    <w:pPr>
      <w:spacing w:after="0" w:line="240" w:lineRule="auto"/>
    </w:pPr>
    <w:rPr>
      <w:color w:val="000000" w:themeColor="text1"/>
      <w14:textFill>
        <w14:solidFill>
          <w14:schemeClr w14:val="tx1"/>
        </w14:solidFill>
      </w14:textFill>
    </w:rPr>
    <w:tblPr>
      <w:tblBorders>
        <w:top w:val="single" w:color="30C0B4" w:themeColor="accent5" w:sz="8" w:space="0"/>
        <w:bottom w:val="single" w:color="30C0B4"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30C0B4" w:themeColor="accent5" w:sz="8" w:space="0"/>
        </w:tcBorders>
      </w:tcPr>
    </w:tblStylePr>
    <w:tblStylePr w:type="lastRow">
      <w:rPr>
        <w:b/>
        <w:bCs/>
        <w:color w:val="44546A" w:themeColor="text2"/>
        <w14:textFill>
          <w14:solidFill>
            <w14:schemeClr w14:val="tx2"/>
          </w14:solidFill>
        </w14:textFill>
      </w:rPr>
      <w:tblPr/>
      <w:tcPr>
        <w:tcBorders>
          <w:top w:val="single" w:color="30C0B4" w:themeColor="accent5" w:sz="8" w:space="0"/>
          <w:bottom w:val="single" w:color="30C0B4" w:themeColor="accent5" w:sz="8" w:space="0"/>
        </w:tcBorders>
      </w:tcPr>
    </w:tblStylePr>
    <w:tblStylePr w:type="firstCol">
      <w:rPr>
        <w:b/>
        <w:bCs/>
      </w:rPr>
    </w:tblStylePr>
    <w:tblStylePr w:type="lastCol">
      <w:rPr>
        <w:b/>
        <w:bCs/>
      </w:rPr>
      <w:tblPr/>
      <w:tcPr>
        <w:tcBorders>
          <w:top w:val="single" w:color="30C0B4" w:themeColor="accent5" w:sz="8" w:space="0"/>
          <w:bottom w:val="single" w:color="30C0B4" w:themeColor="accent5" w:sz="8" w:space="0"/>
        </w:tcBorders>
      </w:tcPr>
    </w:tblStylePr>
    <w:tblStylePr w:type="band1Vert">
      <w:tblPr/>
      <w:tcPr>
        <w:shd w:val="clear" w:color="auto" w:fill="C9F1EE" w:themeFill="accent5" w:themeFillTint="3F"/>
      </w:tcPr>
    </w:tblStylePr>
    <w:tblStylePr w:type="band1Horz">
      <w:tblPr/>
      <w:tcPr>
        <w:shd w:val="clear" w:color="auto" w:fill="C9F1EE" w:themeFill="accent5" w:themeFillTint="3F"/>
      </w:tcPr>
    </w:tblStylePr>
  </w:style>
  <w:style w:type="table" w:styleId="78">
    <w:name w:val="Medium List 1 Accent 6"/>
    <w:basedOn w:val="35"/>
    <w:qFormat/>
    <w:uiPriority w:val="65"/>
    <w:pPr>
      <w:spacing w:after="0" w:line="240" w:lineRule="auto"/>
    </w:pPr>
    <w:rPr>
      <w:color w:val="000000" w:themeColor="text1"/>
      <w14:textFill>
        <w14:solidFill>
          <w14:schemeClr w14:val="tx1"/>
        </w14:solidFill>
      </w14:textFill>
    </w:rPr>
    <w:tblPr>
      <w:tblBorders>
        <w:top w:val="single" w:color="E54C5E" w:themeColor="accent6" w:sz="8" w:space="0"/>
        <w:bottom w:val="single" w:color="E54C5E"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E54C5E" w:themeColor="accent6" w:sz="8" w:space="0"/>
        </w:tcBorders>
      </w:tcPr>
    </w:tblStylePr>
    <w:tblStylePr w:type="lastRow">
      <w:rPr>
        <w:b/>
        <w:bCs/>
        <w:color w:val="44546A" w:themeColor="text2"/>
        <w14:textFill>
          <w14:solidFill>
            <w14:schemeClr w14:val="tx2"/>
          </w14:solidFill>
        </w14:textFill>
      </w:rPr>
      <w:tblPr/>
      <w:tcPr>
        <w:tcBorders>
          <w:top w:val="single" w:color="E54C5E" w:themeColor="accent6" w:sz="8" w:space="0"/>
          <w:bottom w:val="single" w:color="E54C5E" w:themeColor="accent6" w:sz="8" w:space="0"/>
        </w:tcBorders>
      </w:tcPr>
    </w:tblStylePr>
    <w:tblStylePr w:type="firstCol">
      <w:rPr>
        <w:b/>
        <w:bCs/>
      </w:rPr>
    </w:tblStylePr>
    <w:tblStylePr w:type="lastCol">
      <w:rPr>
        <w:b/>
        <w:bCs/>
      </w:rPr>
      <w:tblPr/>
      <w:tcPr>
        <w:tcBorders>
          <w:top w:val="single" w:color="E54C5E" w:themeColor="accent6" w:sz="8" w:space="0"/>
          <w:bottom w:val="single" w:color="E54C5E" w:themeColor="accent6" w:sz="8" w:space="0"/>
        </w:tcBorders>
      </w:tcPr>
    </w:tblStylePr>
    <w:tblStylePr w:type="band1Vert">
      <w:tblPr/>
      <w:tcPr>
        <w:shd w:val="clear" w:color="auto" w:fill="F8D2D7" w:themeFill="accent6" w:themeFillTint="3F"/>
      </w:tcPr>
    </w:tblStylePr>
    <w:tblStylePr w:type="band1Horz">
      <w:tblPr/>
      <w:tcPr>
        <w:shd w:val="clear" w:color="auto" w:fill="F8D2D7" w:themeFill="accent6" w:themeFillTint="3F"/>
      </w:tcPr>
    </w:tblStylePr>
  </w:style>
  <w:style w:type="table" w:styleId="79">
    <w:name w:val="Medium List 2"/>
    <w:basedOn w:val="35"/>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1"/>
    <w:basedOn w:val="35"/>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874CB" w:themeColor="accent1" w:sz="8" w:space="0"/>
        <w:left w:val="single" w:color="4874CB" w:themeColor="accent1" w:sz="8" w:space="0"/>
        <w:bottom w:val="single" w:color="4874CB" w:themeColor="accent1" w:sz="8" w:space="0"/>
        <w:right w:val="single" w:color="4874CB"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874CB" w:themeColor="accent1" w:sz="24" w:space="0"/>
          <w:right w:val="nil"/>
          <w:insideH w:val="nil"/>
          <w:insideV w:val="nil"/>
        </w:tcBorders>
        <w:shd w:val="clear" w:color="auto" w:fill="FFFFFF" w:themeFill="background1"/>
      </w:tcPr>
    </w:tblStylePr>
    <w:tblStylePr w:type="lastRow">
      <w:tblPr/>
      <w:tcPr>
        <w:tcBorders>
          <w:top w:val="single" w:color="4874CB"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874CB" w:themeColor="accent1" w:sz="8" w:space="0"/>
          <w:insideH w:val="nil"/>
          <w:insideV w:val="nil"/>
        </w:tcBorders>
        <w:shd w:val="clear" w:color="auto" w:fill="FFFFFF" w:themeFill="background1"/>
      </w:tcPr>
    </w:tblStylePr>
    <w:tblStylePr w:type="lastCol">
      <w:tblPr/>
      <w:tcPr>
        <w:tcBorders>
          <w:top w:val="nil"/>
          <w:left w:val="single" w:color="4874CB"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CF2" w:themeFill="accent1" w:themeFillTint="3F"/>
      </w:tcPr>
    </w:tblStylePr>
    <w:tblStylePr w:type="band1Horz">
      <w:tblPr/>
      <w:tcPr>
        <w:tcBorders>
          <w:top w:val="nil"/>
          <w:bottom w:val="nil"/>
          <w:insideH w:val="nil"/>
          <w:insideV w:val="nil"/>
        </w:tcBorders>
        <w:shd w:val="clear" w:color="auto" w:fill="D1DC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2"/>
    <w:basedOn w:val="35"/>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EE822F" w:themeColor="accent2" w:sz="8" w:space="0"/>
        <w:left w:val="single" w:color="EE822F" w:themeColor="accent2" w:sz="8" w:space="0"/>
        <w:bottom w:val="single" w:color="EE822F" w:themeColor="accent2" w:sz="8" w:space="0"/>
        <w:right w:val="single" w:color="EE822F"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EE822F" w:themeColor="accent2" w:sz="24" w:space="0"/>
          <w:right w:val="nil"/>
          <w:insideH w:val="nil"/>
          <w:insideV w:val="nil"/>
        </w:tcBorders>
        <w:shd w:val="clear" w:color="auto" w:fill="FFFFFF" w:themeFill="background1"/>
      </w:tcPr>
    </w:tblStylePr>
    <w:tblStylePr w:type="lastRow">
      <w:tblPr/>
      <w:tcPr>
        <w:tcBorders>
          <w:top w:val="single" w:color="EE822F"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E822F" w:themeColor="accent2" w:sz="8" w:space="0"/>
          <w:insideH w:val="nil"/>
          <w:insideV w:val="nil"/>
        </w:tcBorders>
        <w:shd w:val="clear" w:color="auto" w:fill="FFFFFF" w:themeFill="background1"/>
      </w:tcPr>
    </w:tblStylePr>
    <w:tblStylePr w:type="lastCol">
      <w:tblPr/>
      <w:tcPr>
        <w:tcBorders>
          <w:top w:val="nil"/>
          <w:left w:val="single" w:color="EE822F"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0CB" w:themeFill="accent2" w:themeFillTint="3F"/>
      </w:tcPr>
    </w:tblStylePr>
    <w:tblStylePr w:type="band1Horz">
      <w:tblPr/>
      <w:tcPr>
        <w:tcBorders>
          <w:top w:val="nil"/>
          <w:bottom w:val="nil"/>
          <w:insideH w:val="nil"/>
          <w:insideV w:val="nil"/>
        </w:tcBorders>
        <w:shd w:val="clear" w:color="auto" w:fill="FAE0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3"/>
    <w:basedOn w:val="35"/>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2BA02" w:themeColor="accent3" w:sz="8" w:space="0"/>
        <w:left w:val="single" w:color="F2BA02" w:themeColor="accent3" w:sz="8" w:space="0"/>
        <w:bottom w:val="single" w:color="F2BA02" w:themeColor="accent3" w:sz="8" w:space="0"/>
        <w:right w:val="single" w:color="F2BA02"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F2BA02" w:themeColor="accent3" w:sz="24" w:space="0"/>
          <w:right w:val="nil"/>
          <w:insideH w:val="nil"/>
          <w:insideV w:val="nil"/>
        </w:tcBorders>
        <w:shd w:val="clear" w:color="auto" w:fill="FFFFFF" w:themeFill="background1"/>
      </w:tcPr>
    </w:tblStylePr>
    <w:tblStylePr w:type="lastRow">
      <w:tblPr/>
      <w:tcPr>
        <w:tcBorders>
          <w:top w:val="single" w:color="F2BA02"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2BA02" w:themeColor="accent3" w:sz="8" w:space="0"/>
          <w:insideH w:val="nil"/>
          <w:insideV w:val="nil"/>
        </w:tcBorders>
        <w:shd w:val="clear" w:color="auto" w:fill="FFFFFF" w:themeFill="background1"/>
      </w:tcPr>
    </w:tblStylePr>
    <w:tblStylePr w:type="lastCol">
      <w:tblPr/>
      <w:tcPr>
        <w:tcBorders>
          <w:top w:val="nil"/>
          <w:left w:val="single" w:color="F2BA02"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FBD" w:themeFill="accent3" w:themeFillTint="3F"/>
      </w:tcPr>
    </w:tblStylePr>
    <w:tblStylePr w:type="band1Horz">
      <w:tblPr/>
      <w:tcPr>
        <w:tcBorders>
          <w:top w:val="nil"/>
          <w:bottom w:val="nil"/>
          <w:insideH w:val="nil"/>
          <w:insideV w:val="nil"/>
        </w:tcBorders>
        <w:shd w:val="clear" w:color="auto" w:fill="FEEF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4"/>
    <w:basedOn w:val="35"/>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75BD42" w:themeColor="accent4" w:sz="8" w:space="0"/>
        <w:left w:val="single" w:color="75BD42" w:themeColor="accent4" w:sz="8" w:space="0"/>
        <w:bottom w:val="single" w:color="75BD42" w:themeColor="accent4" w:sz="8" w:space="0"/>
        <w:right w:val="single" w:color="75BD4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75BD42" w:themeColor="accent4" w:sz="24" w:space="0"/>
          <w:right w:val="nil"/>
          <w:insideH w:val="nil"/>
          <w:insideV w:val="nil"/>
        </w:tcBorders>
        <w:shd w:val="clear" w:color="auto" w:fill="FFFFFF" w:themeFill="background1"/>
      </w:tcPr>
    </w:tblStylePr>
    <w:tblStylePr w:type="lastRow">
      <w:tblPr/>
      <w:tcPr>
        <w:tcBorders>
          <w:top w:val="single" w:color="75BD4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5BD42" w:themeColor="accent4" w:sz="8" w:space="0"/>
          <w:insideH w:val="nil"/>
          <w:insideV w:val="nil"/>
        </w:tcBorders>
        <w:shd w:val="clear" w:color="auto" w:fill="FFFFFF" w:themeFill="background1"/>
      </w:tcPr>
    </w:tblStylePr>
    <w:tblStylePr w:type="lastCol">
      <w:tblPr/>
      <w:tcPr>
        <w:tcBorders>
          <w:top w:val="nil"/>
          <w:left w:val="single" w:color="75BD4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D0" w:themeFill="accent4" w:themeFillTint="3F"/>
      </w:tcPr>
    </w:tblStylePr>
    <w:tblStylePr w:type="band1Horz">
      <w:tblPr/>
      <w:tcPr>
        <w:tcBorders>
          <w:top w:val="nil"/>
          <w:bottom w:val="nil"/>
          <w:insideH w:val="nil"/>
          <w:insideV w:val="nil"/>
        </w:tcBorders>
        <w:shd w:val="clear" w:color="auto" w:fill="DCEE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5"/>
    <w:basedOn w:val="35"/>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30C0B4" w:themeColor="accent5" w:sz="8" w:space="0"/>
        <w:left w:val="single" w:color="30C0B4" w:themeColor="accent5" w:sz="8" w:space="0"/>
        <w:bottom w:val="single" w:color="30C0B4" w:themeColor="accent5" w:sz="8" w:space="0"/>
        <w:right w:val="single" w:color="30C0B4"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30C0B4" w:themeColor="accent5" w:sz="24" w:space="0"/>
          <w:right w:val="nil"/>
          <w:insideH w:val="nil"/>
          <w:insideV w:val="nil"/>
        </w:tcBorders>
        <w:shd w:val="clear" w:color="auto" w:fill="FFFFFF" w:themeFill="background1"/>
      </w:tcPr>
    </w:tblStylePr>
    <w:tblStylePr w:type="lastRow">
      <w:tblPr/>
      <w:tcPr>
        <w:tcBorders>
          <w:top w:val="single" w:color="30C0B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0C0B4" w:themeColor="accent5" w:sz="8" w:space="0"/>
          <w:insideH w:val="nil"/>
          <w:insideV w:val="nil"/>
        </w:tcBorders>
        <w:shd w:val="clear" w:color="auto" w:fill="FFFFFF" w:themeFill="background1"/>
      </w:tcPr>
    </w:tblStylePr>
    <w:tblStylePr w:type="lastCol">
      <w:tblPr/>
      <w:tcPr>
        <w:tcBorders>
          <w:top w:val="nil"/>
          <w:left w:val="single" w:color="30C0B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1EE" w:themeFill="accent5" w:themeFillTint="3F"/>
      </w:tcPr>
    </w:tblStylePr>
    <w:tblStylePr w:type="band1Horz">
      <w:tblPr/>
      <w:tcPr>
        <w:tcBorders>
          <w:top w:val="nil"/>
          <w:bottom w:val="nil"/>
          <w:insideH w:val="nil"/>
          <w:insideV w:val="nil"/>
        </w:tcBorders>
        <w:shd w:val="clear" w:color="auto" w:fill="C9F1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6"/>
    <w:basedOn w:val="35"/>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E54C5E" w:themeColor="accent6" w:sz="8" w:space="0"/>
        <w:left w:val="single" w:color="E54C5E" w:themeColor="accent6" w:sz="8" w:space="0"/>
        <w:bottom w:val="single" w:color="E54C5E" w:themeColor="accent6" w:sz="8" w:space="0"/>
        <w:right w:val="single" w:color="E54C5E"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E54C5E" w:themeColor="accent6" w:sz="24" w:space="0"/>
          <w:right w:val="nil"/>
          <w:insideH w:val="nil"/>
          <w:insideV w:val="nil"/>
        </w:tcBorders>
        <w:shd w:val="clear" w:color="auto" w:fill="FFFFFF" w:themeFill="background1"/>
      </w:tcPr>
    </w:tblStylePr>
    <w:tblStylePr w:type="lastRow">
      <w:tblPr/>
      <w:tcPr>
        <w:tcBorders>
          <w:top w:val="single" w:color="E54C5E"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54C5E" w:themeColor="accent6" w:sz="8" w:space="0"/>
          <w:insideH w:val="nil"/>
          <w:insideV w:val="nil"/>
        </w:tcBorders>
        <w:shd w:val="clear" w:color="auto" w:fill="FFFFFF" w:themeFill="background1"/>
      </w:tcPr>
    </w:tblStylePr>
    <w:tblStylePr w:type="lastCol">
      <w:tblPr/>
      <w:tcPr>
        <w:tcBorders>
          <w:top w:val="nil"/>
          <w:left w:val="single" w:color="E54C5E"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2D7" w:themeFill="accent6" w:themeFillTint="3F"/>
      </w:tcPr>
    </w:tblStylePr>
    <w:tblStylePr w:type="band1Horz">
      <w:tblPr/>
      <w:tcPr>
        <w:tcBorders>
          <w:top w:val="nil"/>
          <w:bottom w:val="nil"/>
          <w:insideH w:val="nil"/>
          <w:insideV w:val="nil"/>
        </w:tcBorders>
        <w:shd w:val="clear" w:color="auto" w:fill="F8D2D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Grid 1"/>
    <w:basedOn w:val="35"/>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7">
    <w:name w:val="Medium Grid 1 Accent 1"/>
    <w:basedOn w:val="35"/>
    <w:qFormat/>
    <w:uiPriority w:val="67"/>
    <w:pPr>
      <w:spacing w:after="0" w:line="240" w:lineRule="auto"/>
    </w:pPr>
    <w:tblPr>
      <w:tblBorders>
        <w:top w:val="single" w:color="7596D8" w:themeColor="accent1" w:themeTint="BF" w:sz="8" w:space="0"/>
        <w:left w:val="single" w:color="7596D8" w:themeColor="accent1" w:themeTint="BF" w:sz="8" w:space="0"/>
        <w:bottom w:val="single" w:color="7596D8" w:themeColor="accent1" w:themeTint="BF" w:sz="8" w:space="0"/>
        <w:right w:val="single" w:color="7596D8" w:themeColor="accent1" w:themeTint="BF" w:sz="8" w:space="0"/>
        <w:insideH w:val="single" w:color="7596D8" w:themeColor="accent1" w:themeTint="BF" w:sz="8" w:space="0"/>
        <w:insideV w:val="single" w:color="7596D8" w:themeColor="accent1" w:themeTint="BF" w:sz="8" w:space="0"/>
      </w:tblBorders>
      <w:tblCellMar>
        <w:top w:w="0" w:type="dxa"/>
        <w:left w:w="108" w:type="dxa"/>
        <w:bottom w:w="0" w:type="dxa"/>
        <w:right w:w="108" w:type="dxa"/>
      </w:tblCellMar>
    </w:tblPr>
    <w:tcPr>
      <w:shd w:val="clear" w:color="auto" w:fill="D1DCF2" w:themeFill="accent1" w:themeFillTint="3F"/>
    </w:tcPr>
    <w:tblStylePr w:type="firstRow">
      <w:rPr>
        <w:b/>
        <w:bCs/>
      </w:rPr>
    </w:tblStylePr>
    <w:tblStylePr w:type="lastRow">
      <w:rPr>
        <w:b/>
        <w:bCs/>
      </w:rPr>
      <w:tblPr/>
      <w:tcPr>
        <w:tcBorders>
          <w:top w:val="single" w:color="7596D8" w:themeColor="accent1" w:themeTint="BF" w:sz="18" w:space="0"/>
        </w:tcBorders>
      </w:tcPr>
    </w:tblStylePr>
    <w:tblStylePr w:type="firstCol">
      <w:rPr>
        <w:b/>
        <w:bCs/>
      </w:rPr>
    </w:tblStylePr>
    <w:tblStylePr w:type="lastCol">
      <w:rPr>
        <w:b/>
        <w:bCs/>
      </w:rPr>
    </w:tblStylePr>
    <w:tblStylePr w:type="band1Vert">
      <w:tblPr/>
      <w:tcPr>
        <w:shd w:val="clear" w:color="auto" w:fill="A3B9E5" w:themeFill="accent1" w:themeFillTint="7F"/>
      </w:tcPr>
    </w:tblStylePr>
    <w:tblStylePr w:type="band1Horz">
      <w:tblPr/>
      <w:tcPr>
        <w:shd w:val="clear" w:color="auto" w:fill="A3B9E5" w:themeFill="accent1" w:themeFillTint="7F"/>
      </w:tcPr>
    </w:tblStylePr>
  </w:style>
  <w:style w:type="table" w:styleId="88">
    <w:name w:val="Medium Grid 1 Accent 2"/>
    <w:basedOn w:val="35"/>
    <w:qFormat/>
    <w:uiPriority w:val="67"/>
    <w:pPr>
      <w:spacing w:after="0" w:line="240" w:lineRule="auto"/>
    </w:pPr>
    <w:tblPr>
      <w:tblBorders>
        <w:top w:val="single" w:color="F2A163" w:themeColor="accent2" w:themeTint="BF" w:sz="8" w:space="0"/>
        <w:left w:val="single" w:color="F2A163" w:themeColor="accent2" w:themeTint="BF" w:sz="8" w:space="0"/>
        <w:bottom w:val="single" w:color="F2A163" w:themeColor="accent2" w:themeTint="BF" w:sz="8" w:space="0"/>
        <w:right w:val="single" w:color="F2A163" w:themeColor="accent2" w:themeTint="BF" w:sz="8" w:space="0"/>
        <w:insideH w:val="single" w:color="F2A163" w:themeColor="accent2" w:themeTint="BF" w:sz="8" w:space="0"/>
        <w:insideV w:val="single" w:color="F2A163" w:themeColor="accent2" w:themeTint="BF" w:sz="8" w:space="0"/>
      </w:tblBorders>
      <w:tblCellMar>
        <w:top w:w="0" w:type="dxa"/>
        <w:left w:w="108" w:type="dxa"/>
        <w:bottom w:w="0" w:type="dxa"/>
        <w:right w:w="108" w:type="dxa"/>
      </w:tblCellMar>
    </w:tblPr>
    <w:tcPr>
      <w:shd w:val="clear" w:color="auto" w:fill="FAE0CB" w:themeFill="accent2" w:themeFillTint="3F"/>
    </w:tcPr>
    <w:tblStylePr w:type="firstRow">
      <w:rPr>
        <w:b/>
        <w:bCs/>
      </w:rPr>
    </w:tblStylePr>
    <w:tblStylePr w:type="lastRow">
      <w:rPr>
        <w:b/>
        <w:bCs/>
      </w:rPr>
      <w:tblPr/>
      <w:tcPr>
        <w:tcBorders>
          <w:top w:val="single" w:color="F2A163" w:themeColor="accent2" w:themeTint="BF" w:sz="18" w:space="0"/>
        </w:tcBorders>
      </w:tcPr>
    </w:tblStylePr>
    <w:tblStylePr w:type="firstCol">
      <w:rPr>
        <w:b/>
        <w:bCs/>
      </w:rPr>
    </w:tblStylePr>
    <w:tblStylePr w:type="lastCol">
      <w:rPr>
        <w:b/>
        <w:bCs/>
      </w:rPr>
    </w:tblStylePr>
    <w:tblStylePr w:type="band1Vert">
      <w:tblPr/>
      <w:tcPr>
        <w:shd w:val="clear" w:color="auto" w:fill="F6C097" w:themeFill="accent2" w:themeFillTint="7F"/>
      </w:tcPr>
    </w:tblStylePr>
    <w:tblStylePr w:type="band1Horz">
      <w:tblPr/>
      <w:tcPr>
        <w:shd w:val="clear" w:color="auto" w:fill="F6C097" w:themeFill="accent2" w:themeFillTint="7F"/>
      </w:tcPr>
    </w:tblStylePr>
  </w:style>
  <w:style w:type="table" w:styleId="89">
    <w:name w:val="Medium Grid 1 Accent 3"/>
    <w:basedOn w:val="35"/>
    <w:qFormat/>
    <w:uiPriority w:val="67"/>
    <w:pPr>
      <w:spacing w:after="0" w:line="240" w:lineRule="auto"/>
    </w:pPr>
    <w:tblPr>
      <w:tblBorders>
        <w:top w:val="single" w:color="FDCF39" w:themeColor="accent3" w:themeTint="BF" w:sz="8" w:space="0"/>
        <w:left w:val="single" w:color="FDCF39" w:themeColor="accent3" w:themeTint="BF" w:sz="8" w:space="0"/>
        <w:bottom w:val="single" w:color="FDCF39" w:themeColor="accent3" w:themeTint="BF" w:sz="8" w:space="0"/>
        <w:right w:val="single" w:color="FDCF39" w:themeColor="accent3" w:themeTint="BF" w:sz="8" w:space="0"/>
        <w:insideH w:val="single" w:color="FDCF39" w:themeColor="accent3" w:themeTint="BF" w:sz="8" w:space="0"/>
        <w:insideV w:val="single" w:color="FDCF39" w:themeColor="accent3" w:themeTint="BF" w:sz="8" w:space="0"/>
      </w:tblBorders>
      <w:tblCellMar>
        <w:top w:w="0" w:type="dxa"/>
        <w:left w:w="108" w:type="dxa"/>
        <w:bottom w:w="0" w:type="dxa"/>
        <w:right w:w="108" w:type="dxa"/>
      </w:tblCellMar>
    </w:tblPr>
    <w:tcPr>
      <w:shd w:val="clear" w:color="auto" w:fill="FEEFBD" w:themeFill="accent3" w:themeFillTint="3F"/>
    </w:tcPr>
    <w:tblStylePr w:type="firstRow">
      <w:rPr>
        <w:b/>
        <w:bCs/>
      </w:rPr>
    </w:tblStylePr>
    <w:tblStylePr w:type="lastRow">
      <w:rPr>
        <w:b/>
        <w:bCs/>
      </w:rPr>
      <w:tblPr/>
      <w:tcPr>
        <w:tcBorders>
          <w:top w:val="single" w:color="FDCF39" w:themeColor="accent3" w:themeTint="BF" w:sz="18" w:space="0"/>
        </w:tcBorders>
      </w:tcPr>
    </w:tblStylePr>
    <w:tblStylePr w:type="firstCol">
      <w:rPr>
        <w:b/>
        <w:bCs/>
      </w:rPr>
    </w:tblStylePr>
    <w:tblStylePr w:type="lastCol">
      <w:rPr>
        <w:b/>
        <w:bCs/>
      </w:rPr>
    </w:tblStylePr>
    <w:tblStylePr w:type="band1Vert">
      <w:tblPr/>
      <w:tcPr>
        <w:shd w:val="clear" w:color="auto" w:fill="FDDF7B" w:themeFill="accent3" w:themeFillTint="7F"/>
      </w:tcPr>
    </w:tblStylePr>
    <w:tblStylePr w:type="band1Horz">
      <w:tblPr/>
      <w:tcPr>
        <w:shd w:val="clear" w:color="auto" w:fill="FDDF7B" w:themeFill="accent3" w:themeFillTint="7F"/>
      </w:tcPr>
    </w:tblStylePr>
  </w:style>
  <w:style w:type="table" w:styleId="90">
    <w:name w:val="Medium Grid 1 Accent 4"/>
    <w:basedOn w:val="35"/>
    <w:qFormat/>
    <w:uiPriority w:val="67"/>
    <w:pPr>
      <w:spacing w:after="0" w:line="240" w:lineRule="auto"/>
    </w:pPr>
    <w:tblPr>
      <w:tblBorders>
        <w:top w:val="single" w:color="97CD71" w:themeColor="accent4" w:themeTint="BF" w:sz="8" w:space="0"/>
        <w:left w:val="single" w:color="97CD71" w:themeColor="accent4" w:themeTint="BF" w:sz="8" w:space="0"/>
        <w:bottom w:val="single" w:color="97CD71" w:themeColor="accent4" w:themeTint="BF" w:sz="8" w:space="0"/>
        <w:right w:val="single" w:color="97CD71" w:themeColor="accent4" w:themeTint="BF" w:sz="8" w:space="0"/>
        <w:insideH w:val="single" w:color="97CD71" w:themeColor="accent4" w:themeTint="BF" w:sz="8" w:space="0"/>
        <w:insideV w:val="single" w:color="97CD71" w:themeColor="accent4" w:themeTint="BF" w:sz="8" w:space="0"/>
      </w:tblBorders>
      <w:tblCellMar>
        <w:top w:w="0" w:type="dxa"/>
        <w:left w:w="108" w:type="dxa"/>
        <w:bottom w:w="0" w:type="dxa"/>
        <w:right w:w="108" w:type="dxa"/>
      </w:tblCellMar>
    </w:tblPr>
    <w:tcPr>
      <w:shd w:val="clear" w:color="auto" w:fill="DCEED0" w:themeFill="accent4" w:themeFillTint="3F"/>
    </w:tcPr>
    <w:tblStylePr w:type="firstRow">
      <w:rPr>
        <w:b/>
        <w:bCs/>
      </w:rPr>
    </w:tblStylePr>
    <w:tblStylePr w:type="lastRow">
      <w:rPr>
        <w:b/>
        <w:bCs/>
      </w:rPr>
      <w:tblPr/>
      <w:tcPr>
        <w:tcBorders>
          <w:top w:val="single" w:color="97CD71" w:themeColor="accent4" w:themeTint="BF" w:sz="18" w:space="0"/>
        </w:tcBorders>
      </w:tcPr>
    </w:tblStylePr>
    <w:tblStylePr w:type="firstCol">
      <w:rPr>
        <w:b/>
        <w:bCs/>
      </w:rPr>
    </w:tblStylePr>
    <w:tblStylePr w:type="lastCol">
      <w:rPr>
        <w:b/>
        <w:bCs/>
      </w:rPr>
    </w:tblStylePr>
    <w:tblStylePr w:type="band1Vert">
      <w:tblPr/>
      <w:tcPr>
        <w:shd w:val="clear" w:color="auto" w:fill="BADEA0" w:themeFill="accent4" w:themeFillTint="7F"/>
      </w:tcPr>
    </w:tblStylePr>
    <w:tblStylePr w:type="band1Horz">
      <w:tblPr/>
      <w:tcPr>
        <w:shd w:val="clear" w:color="auto" w:fill="BADEA0" w:themeFill="accent4" w:themeFillTint="7F"/>
      </w:tcPr>
    </w:tblStylePr>
  </w:style>
  <w:style w:type="table" w:styleId="91">
    <w:name w:val="Medium Grid 1 Accent 5"/>
    <w:basedOn w:val="35"/>
    <w:qFormat/>
    <w:uiPriority w:val="67"/>
    <w:pPr>
      <w:spacing w:after="0" w:line="240" w:lineRule="auto"/>
    </w:pPr>
    <w:tblPr>
      <w:tblBorders>
        <w:top w:val="single" w:color="5DD6CC" w:themeColor="accent5" w:themeTint="BF" w:sz="8" w:space="0"/>
        <w:left w:val="single" w:color="5DD6CC" w:themeColor="accent5" w:themeTint="BF" w:sz="8" w:space="0"/>
        <w:bottom w:val="single" w:color="5DD6CC" w:themeColor="accent5" w:themeTint="BF" w:sz="8" w:space="0"/>
        <w:right w:val="single" w:color="5DD6CC" w:themeColor="accent5" w:themeTint="BF" w:sz="8" w:space="0"/>
        <w:insideH w:val="single" w:color="5DD6CC" w:themeColor="accent5" w:themeTint="BF" w:sz="8" w:space="0"/>
        <w:insideV w:val="single" w:color="5DD6CC" w:themeColor="accent5" w:themeTint="BF" w:sz="8" w:space="0"/>
      </w:tblBorders>
      <w:tblCellMar>
        <w:top w:w="0" w:type="dxa"/>
        <w:left w:w="108" w:type="dxa"/>
        <w:bottom w:w="0" w:type="dxa"/>
        <w:right w:w="108" w:type="dxa"/>
      </w:tblCellMar>
    </w:tblPr>
    <w:tcPr>
      <w:shd w:val="clear" w:color="auto" w:fill="C9F1EE" w:themeFill="accent5" w:themeFillTint="3F"/>
    </w:tcPr>
    <w:tblStylePr w:type="firstRow">
      <w:rPr>
        <w:b/>
        <w:bCs/>
      </w:rPr>
    </w:tblStylePr>
    <w:tblStylePr w:type="lastRow">
      <w:rPr>
        <w:b/>
        <w:bCs/>
      </w:rPr>
      <w:tblPr/>
      <w:tcPr>
        <w:tcBorders>
          <w:top w:val="single" w:color="5DD6CC" w:themeColor="accent5" w:themeTint="BF" w:sz="18" w:space="0"/>
        </w:tcBorders>
      </w:tcPr>
    </w:tblStylePr>
    <w:tblStylePr w:type="firstCol">
      <w:rPr>
        <w:b/>
        <w:bCs/>
      </w:rPr>
    </w:tblStylePr>
    <w:tblStylePr w:type="lastCol">
      <w:rPr>
        <w:b/>
        <w:bCs/>
      </w:rPr>
    </w:tblStylePr>
    <w:tblStylePr w:type="band1Vert">
      <w:tblPr/>
      <w:tcPr>
        <w:shd w:val="clear" w:color="auto" w:fill="93E4DD" w:themeFill="accent5" w:themeFillTint="7F"/>
      </w:tcPr>
    </w:tblStylePr>
    <w:tblStylePr w:type="band1Horz">
      <w:tblPr/>
      <w:tcPr>
        <w:shd w:val="clear" w:color="auto" w:fill="93E4DD" w:themeFill="accent5" w:themeFillTint="7F"/>
      </w:tcPr>
    </w:tblStylePr>
  </w:style>
  <w:style w:type="table" w:styleId="92">
    <w:name w:val="Medium Grid 1 Accent 6"/>
    <w:basedOn w:val="35"/>
    <w:qFormat/>
    <w:uiPriority w:val="67"/>
    <w:pPr>
      <w:spacing w:after="0" w:line="240" w:lineRule="auto"/>
    </w:pPr>
    <w:tblPr>
      <w:tblBorders>
        <w:top w:val="single" w:color="EB7886" w:themeColor="accent6" w:themeTint="BF" w:sz="8" w:space="0"/>
        <w:left w:val="single" w:color="EB7886" w:themeColor="accent6" w:themeTint="BF" w:sz="8" w:space="0"/>
        <w:bottom w:val="single" w:color="EB7886" w:themeColor="accent6" w:themeTint="BF" w:sz="8" w:space="0"/>
        <w:right w:val="single" w:color="EB7886" w:themeColor="accent6" w:themeTint="BF" w:sz="8" w:space="0"/>
        <w:insideH w:val="single" w:color="EB7886" w:themeColor="accent6" w:themeTint="BF" w:sz="8" w:space="0"/>
        <w:insideV w:val="single" w:color="EB7886" w:themeColor="accent6" w:themeTint="BF" w:sz="8" w:space="0"/>
      </w:tblBorders>
      <w:tblCellMar>
        <w:top w:w="0" w:type="dxa"/>
        <w:left w:w="108" w:type="dxa"/>
        <w:bottom w:w="0" w:type="dxa"/>
        <w:right w:w="108" w:type="dxa"/>
      </w:tblCellMar>
    </w:tblPr>
    <w:tcPr>
      <w:shd w:val="clear" w:color="auto" w:fill="F8D2D7" w:themeFill="accent6" w:themeFillTint="3F"/>
    </w:tcPr>
    <w:tblStylePr w:type="firstRow">
      <w:rPr>
        <w:b/>
        <w:bCs/>
      </w:rPr>
    </w:tblStylePr>
    <w:tblStylePr w:type="lastRow">
      <w:rPr>
        <w:b/>
        <w:bCs/>
      </w:rPr>
      <w:tblPr/>
      <w:tcPr>
        <w:tcBorders>
          <w:top w:val="single" w:color="EB7886" w:themeColor="accent6" w:themeTint="BF" w:sz="18" w:space="0"/>
        </w:tcBorders>
      </w:tcPr>
    </w:tblStylePr>
    <w:tblStylePr w:type="firstCol">
      <w:rPr>
        <w:b/>
        <w:bCs/>
      </w:rPr>
    </w:tblStylePr>
    <w:tblStylePr w:type="lastCol">
      <w:rPr>
        <w:b/>
        <w:bCs/>
      </w:rPr>
    </w:tblStylePr>
    <w:tblStylePr w:type="band1Vert">
      <w:tblPr/>
      <w:tcPr>
        <w:shd w:val="clear" w:color="auto" w:fill="F2A5AE" w:themeFill="accent6" w:themeFillTint="7F"/>
      </w:tcPr>
    </w:tblStylePr>
    <w:tblStylePr w:type="band1Horz">
      <w:tblPr/>
      <w:tcPr>
        <w:shd w:val="clear" w:color="auto" w:fill="F2A5AE" w:themeFill="accent6" w:themeFillTint="7F"/>
      </w:tcPr>
    </w:tblStylePr>
  </w:style>
  <w:style w:type="table" w:styleId="93">
    <w:name w:val="Medium Grid 2"/>
    <w:basedOn w:val="35"/>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4">
    <w:name w:val="Medium Grid 2 Accent 1"/>
    <w:basedOn w:val="35"/>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874CB" w:themeColor="accent1" w:sz="8" w:space="0"/>
        <w:left w:val="single" w:color="4874CB" w:themeColor="accent1" w:sz="8" w:space="0"/>
        <w:bottom w:val="single" w:color="4874CB" w:themeColor="accent1" w:sz="8" w:space="0"/>
        <w:right w:val="single" w:color="4874CB" w:themeColor="accent1" w:sz="8" w:space="0"/>
        <w:insideH w:val="single" w:color="4874CB" w:themeColor="accent1" w:sz="8" w:space="0"/>
        <w:insideV w:val="single" w:color="4874CB" w:themeColor="accent1" w:sz="8" w:space="0"/>
      </w:tblBorders>
      <w:tblCellMar>
        <w:top w:w="0" w:type="dxa"/>
        <w:left w:w="108" w:type="dxa"/>
        <w:bottom w:w="0" w:type="dxa"/>
        <w:right w:w="108" w:type="dxa"/>
      </w:tblCellMar>
    </w:tblPr>
    <w:tcPr>
      <w:shd w:val="clear" w:color="auto" w:fill="D1DCF2" w:themeFill="accent1" w:themeFillTint="3F"/>
    </w:tcPr>
    <w:tblStylePr w:type="firstRow">
      <w:rPr>
        <w:b/>
        <w:bCs/>
        <w:color w:val="000000" w:themeColor="text1"/>
        <w14:textFill>
          <w14:solidFill>
            <w14:schemeClr w14:val="tx1"/>
          </w14:solidFill>
        </w14:textFill>
      </w:rPr>
      <w:tblPr/>
      <w:tcPr>
        <w:shd w:val="clear" w:color="auto" w:fill="EDF1F9"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3F4" w:themeFill="accent1" w:themeFillTint="33"/>
      </w:tcPr>
    </w:tblStylePr>
    <w:tblStylePr w:type="band1Vert">
      <w:tblPr/>
      <w:tcPr>
        <w:shd w:val="clear" w:color="auto" w:fill="A3B9E5" w:themeFill="accent1" w:themeFillTint="7F"/>
      </w:tcPr>
    </w:tblStylePr>
    <w:tblStylePr w:type="band1Horz">
      <w:tblPr/>
      <w:tcPr>
        <w:tcBorders>
          <w:insideH w:val="single" w:sz="6" w:space="0"/>
          <w:insideV w:val="single" w:sz="6" w:space="0"/>
        </w:tcBorders>
        <w:shd w:val="clear" w:color="auto" w:fill="A3B9E5" w:themeFill="accent1" w:themeFillTint="7F"/>
      </w:tcPr>
    </w:tblStylePr>
    <w:tblStylePr w:type="nwCell">
      <w:tblPr/>
      <w:tcPr>
        <w:shd w:val="clear" w:color="auto" w:fill="FFFFFF" w:themeFill="background1"/>
      </w:tcPr>
    </w:tblStylePr>
  </w:style>
  <w:style w:type="table" w:styleId="95">
    <w:name w:val="Medium Grid 2 Accent 2"/>
    <w:basedOn w:val="35"/>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EE822F" w:themeColor="accent2" w:sz="8" w:space="0"/>
        <w:left w:val="single" w:color="EE822F" w:themeColor="accent2" w:sz="8" w:space="0"/>
        <w:bottom w:val="single" w:color="EE822F" w:themeColor="accent2" w:sz="8" w:space="0"/>
        <w:right w:val="single" w:color="EE822F" w:themeColor="accent2" w:sz="8" w:space="0"/>
        <w:insideH w:val="single" w:color="EE822F" w:themeColor="accent2" w:sz="8" w:space="0"/>
        <w:insideV w:val="single" w:color="EE822F" w:themeColor="accent2" w:sz="8" w:space="0"/>
      </w:tblBorders>
      <w:tblCellMar>
        <w:top w:w="0" w:type="dxa"/>
        <w:left w:w="108" w:type="dxa"/>
        <w:bottom w:w="0" w:type="dxa"/>
        <w:right w:w="108" w:type="dxa"/>
      </w:tblCellMar>
    </w:tblPr>
    <w:tcPr>
      <w:shd w:val="clear" w:color="auto" w:fill="FAE0CB" w:themeFill="accent2" w:themeFillTint="3F"/>
    </w:tcPr>
    <w:tblStylePr w:type="firstRow">
      <w:rPr>
        <w:b/>
        <w:bCs/>
        <w:color w:val="000000" w:themeColor="text1"/>
        <w14:textFill>
          <w14:solidFill>
            <w14:schemeClr w14:val="tx1"/>
          </w14:solidFill>
        </w14:textFill>
      </w:rPr>
      <w:tblPr/>
      <w:tcPr>
        <w:shd w:val="clear" w:color="auto" w:fill="FDF2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BE5D5" w:themeFill="accent2" w:themeFillTint="33"/>
      </w:tcPr>
    </w:tblStylePr>
    <w:tblStylePr w:type="band1Vert">
      <w:tblPr/>
      <w:tcPr>
        <w:shd w:val="clear" w:color="auto" w:fill="F6C097" w:themeFill="accent2" w:themeFillTint="7F"/>
      </w:tcPr>
    </w:tblStylePr>
    <w:tblStylePr w:type="band1Horz">
      <w:tblPr/>
      <w:tcPr>
        <w:tcBorders>
          <w:insideH w:val="single" w:sz="6" w:space="0"/>
          <w:insideV w:val="single" w:sz="6" w:space="0"/>
        </w:tcBorders>
        <w:shd w:val="clear" w:color="auto" w:fill="F6C097" w:themeFill="accent2" w:themeFillTint="7F"/>
      </w:tcPr>
    </w:tblStylePr>
    <w:tblStylePr w:type="nwCell">
      <w:tblPr/>
      <w:tcPr>
        <w:shd w:val="clear" w:color="auto" w:fill="FFFFFF" w:themeFill="background1"/>
      </w:tcPr>
    </w:tblStylePr>
  </w:style>
  <w:style w:type="table" w:styleId="96">
    <w:name w:val="Medium Grid 2 Accent 3"/>
    <w:basedOn w:val="35"/>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2BA02" w:themeColor="accent3" w:sz="8" w:space="0"/>
        <w:left w:val="single" w:color="F2BA02" w:themeColor="accent3" w:sz="8" w:space="0"/>
        <w:bottom w:val="single" w:color="F2BA02" w:themeColor="accent3" w:sz="8" w:space="0"/>
        <w:right w:val="single" w:color="F2BA02" w:themeColor="accent3" w:sz="8" w:space="0"/>
        <w:insideH w:val="single" w:color="F2BA02" w:themeColor="accent3" w:sz="8" w:space="0"/>
        <w:insideV w:val="single" w:color="F2BA02" w:themeColor="accent3" w:sz="8" w:space="0"/>
      </w:tblBorders>
      <w:tblCellMar>
        <w:top w:w="0" w:type="dxa"/>
        <w:left w:w="108" w:type="dxa"/>
        <w:bottom w:w="0" w:type="dxa"/>
        <w:right w:w="108" w:type="dxa"/>
      </w:tblCellMar>
    </w:tblPr>
    <w:tcPr>
      <w:shd w:val="clear" w:color="auto" w:fill="FEEFBD" w:themeFill="accent3" w:themeFillTint="3F"/>
    </w:tcPr>
    <w:tblStylePr w:type="firstRow">
      <w:rPr>
        <w:b/>
        <w:bCs/>
        <w:color w:val="000000" w:themeColor="text1"/>
        <w14:textFill>
          <w14:solidFill>
            <w14:schemeClr w14:val="tx1"/>
          </w14:solidFill>
        </w14:textFill>
      </w:rPr>
      <w:tblPr/>
      <w:tcPr>
        <w:shd w:val="clear" w:color="auto" w:fill="FEF8E5"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EF2CA" w:themeFill="accent3" w:themeFillTint="33"/>
      </w:tcPr>
    </w:tblStylePr>
    <w:tblStylePr w:type="band1Vert">
      <w:tblPr/>
      <w:tcPr>
        <w:shd w:val="clear" w:color="auto" w:fill="FDDF7B" w:themeFill="accent3" w:themeFillTint="7F"/>
      </w:tcPr>
    </w:tblStylePr>
    <w:tblStylePr w:type="band1Horz">
      <w:tblPr/>
      <w:tcPr>
        <w:tcBorders>
          <w:insideH w:val="single" w:sz="6" w:space="0"/>
          <w:insideV w:val="single" w:sz="6" w:space="0"/>
        </w:tcBorders>
        <w:shd w:val="clear" w:color="auto" w:fill="FDDF7B" w:themeFill="accent3" w:themeFillTint="7F"/>
      </w:tcPr>
    </w:tblStylePr>
    <w:tblStylePr w:type="nwCell">
      <w:tblPr/>
      <w:tcPr>
        <w:shd w:val="clear" w:color="auto" w:fill="FFFFFF" w:themeFill="background1"/>
      </w:tcPr>
    </w:tblStylePr>
  </w:style>
  <w:style w:type="table" w:styleId="97">
    <w:name w:val="Medium Grid 2 Accent 4"/>
    <w:basedOn w:val="35"/>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75BD42" w:themeColor="accent4" w:sz="8" w:space="0"/>
        <w:left w:val="single" w:color="75BD42" w:themeColor="accent4" w:sz="8" w:space="0"/>
        <w:bottom w:val="single" w:color="75BD42" w:themeColor="accent4" w:sz="8" w:space="0"/>
        <w:right w:val="single" w:color="75BD42" w:themeColor="accent4" w:sz="8" w:space="0"/>
        <w:insideH w:val="single" w:color="75BD42" w:themeColor="accent4" w:sz="8" w:space="0"/>
        <w:insideV w:val="single" w:color="75BD42" w:themeColor="accent4" w:sz="8" w:space="0"/>
      </w:tblBorders>
      <w:tblCellMar>
        <w:top w:w="0" w:type="dxa"/>
        <w:left w:w="108" w:type="dxa"/>
        <w:bottom w:w="0" w:type="dxa"/>
        <w:right w:w="108" w:type="dxa"/>
      </w:tblCellMar>
    </w:tblPr>
    <w:tcPr>
      <w:shd w:val="clear" w:color="auto" w:fill="DCEED0" w:themeFill="accent4" w:themeFillTint="3F"/>
    </w:tcPr>
    <w:tblStylePr w:type="firstRow">
      <w:rPr>
        <w:b/>
        <w:bCs/>
        <w:color w:val="000000" w:themeColor="text1"/>
        <w14:textFill>
          <w14:solidFill>
            <w14:schemeClr w14:val="tx1"/>
          </w14:solidFill>
        </w14:textFill>
      </w:rPr>
      <w:tblPr/>
      <w:tcPr>
        <w:shd w:val="clear" w:color="auto" w:fill="F1F8EC"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3F1D9" w:themeFill="accent4" w:themeFillTint="33"/>
      </w:tcPr>
    </w:tblStylePr>
    <w:tblStylePr w:type="band1Vert">
      <w:tblPr/>
      <w:tcPr>
        <w:shd w:val="clear" w:color="auto" w:fill="BADEA0" w:themeFill="accent4" w:themeFillTint="7F"/>
      </w:tcPr>
    </w:tblStylePr>
    <w:tblStylePr w:type="band1Horz">
      <w:tblPr/>
      <w:tcPr>
        <w:tcBorders>
          <w:insideH w:val="single" w:sz="6" w:space="0"/>
          <w:insideV w:val="single" w:sz="6" w:space="0"/>
        </w:tcBorders>
        <w:shd w:val="clear" w:color="auto" w:fill="BADEA0" w:themeFill="accent4" w:themeFillTint="7F"/>
      </w:tcPr>
    </w:tblStylePr>
    <w:tblStylePr w:type="nwCell">
      <w:tblPr/>
      <w:tcPr>
        <w:shd w:val="clear" w:color="auto" w:fill="FFFFFF" w:themeFill="background1"/>
      </w:tcPr>
    </w:tblStylePr>
  </w:style>
  <w:style w:type="table" w:styleId="98">
    <w:name w:val="Medium Grid 2 Accent 5"/>
    <w:basedOn w:val="35"/>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30C0B4" w:themeColor="accent5" w:sz="8" w:space="0"/>
        <w:left w:val="single" w:color="30C0B4" w:themeColor="accent5" w:sz="8" w:space="0"/>
        <w:bottom w:val="single" w:color="30C0B4" w:themeColor="accent5" w:sz="8" w:space="0"/>
        <w:right w:val="single" w:color="30C0B4" w:themeColor="accent5" w:sz="8" w:space="0"/>
        <w:insideH w:val="single" w:color="30C0B4" w:themeColor="accent5" w:sz="8" w:space="0"/>
        <w:insideV w:val="single" w:color="30C0B4" w:themeColor="accent5" w:sz="8" w:space="0"/>
      </w:tblBorders>
      <w:tblCellMar>
        <w:top w:w="0" w:type="dxa"/>
        <w:left w:w="108" w:type="dxa"/>
        <w:bottom w:w="0" w:type="dxa"/>
        <w:right w:w="108" w:type="dxa"/>
      </w:tblCellMar>
    </w:tblPr>
    <w:tcPr>
      <w:shd w:val="clear" w:color="auto" w:fill="C9F1EE" w:themeFill="accent5" w:themeFillTint="3F"/>
    </w:tcPr>
    <w:tblStylePr w:type="firstRow">
      <w:rPr>
        <w:b/>
        <w:bCs/>
        <w:color w:val="000000" w:themeColor="text1"/>
        <w14:textFill>
          <w14:solidFill>
            <w14:schemeClr w14:val="tx1"/>
          </w14:solidFill>
        </w14:textFill>
      </w:rPr>
      <w:tblPr/>
      <w:tcPr>
        <w:shd w:val="clear" w:color="auto" w:fill="E9F9F8"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3F4F1" w:themeFill="accent5" w:themeFillTint="33"/>
      </w:tcPr>
    </w:tblStylePr>
    <w:tblStylePr w:type="band1Vert">
      <w:tblPr/>
      <w:tcPr>
        <w:shd w:val="clear" w:color="auto" w:fill="93E4DD" w:themeFill="accent5" w:themeFillTint="7F"/>
      </w:tcPr>
    </w:tblStylePr>
    <w:tblStylePr w:type="band1Horz">
      <w:tblPr/>
      <w:tcPr>
        <w:tcBorders>
          <w:insideH w:val="single" w:sz="6" w:space="0"/>
          <w:insideV w:val="single" w:sz="6" w:space="0"/>
        </w:tcBorders>
        <w:shd w:val="clear" w:color="auto" w:fill="93E4DD" w:themeFill="accent5" w:themeFillTint="7F"/>
      </w:tcPr>
    </w:tblStylePr>
    <w:tblStylePr w:type="nwCell">
      <w:tblPr/>
      <w:tcPr>
        <w:shd w:val="clear" w:color="auto" w:fill="FFFFFF" w:themeFill="background1"/>
      </w:tcPr>
    </w:tblStylePr>
  </w:style>
  <w:style w:type="table" w:styleId="99">
    <w:name w:val="Medium Grid 2 Accent 6"/>
    <w:basedOn w:val="35"/>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E54C5E" w:themeColor="accent6" w:sz="8" w:space="0"/>
        <w:left w:val="single" w:color="E54C5E" w:themeColor="accent6" w:sz="8" w:space="0"/>
        <w:bottom w:val="single" w:color="E54C5E" w:themeColor="accent6" w:sz="8" w:space="0"/>
        <w:right w:val="single" w:color="E54C5E" w:themeColor="accent6" w:sz="8" w:space="0"/>
        <w:insideH w:val="single" w:color="E54C5E" w:themeColor="accent6" w:sz="8" w:space="0"/>
        <w:insideV w:val="single" w:color="E54C5E" w:themeColor="accent6" w:sz="8" w:space="0"/>
      </w:tblBorders>
      <w:tblCellMar>
        <w:top w:w="0" w:type="dxa"/>
        <w:left w:w="108" w:type="dxa"/>
        <w:bottom w:w="0" w:type="dxa"/>
        <w:right w:w="108" w:type="dxa"/>
      </w:tblCellMar>
    </w:tblPr>
    <w:tcPr>
      <w:shd w:val="clear" w:color="auto" w:fill="F8D2D7" w:themeFill="accent6" w:themeFillTint="3F"/>
    </w:tcPr>
    <w:tblStylePr w:type="firstRow">
      <w:rPr>
        <w:b/>
        <w:bCs/>
        <w:color w:val="000000" w:themeColor="text1"/>
        <w14:textFill>
          <w14:solidFill>
            <w14:schemeClr w14:val="tx1"/>
          </w14:solidFill>
        </w14:textFill>
      </w:rPr>
      <w:tblPr/>
      <w:tcPr>
        <w:shd w:val="clear" w:color="auto" w:fill="FCEDEF"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9DBDE" w:themeFill="accent6" w:themeFillTint="33"/>
      </w:tcPr>
    </w:tblStylePr>
    <w:tblStylePr w:type="band1Vert">
      <w:tblPr/>
      <w:tcPr>
        <w:shd w:val="clear" w:color="auto" w:fill="F2A5AE" w:themeFill="accent6" w:themeFillTint="7F"/>
      </w:tcPr>
    </w:tblStylePr>
    <w:tblStylePr w:type="band1Horz">
      <w:tblPr/>
      <w:tcPr>
        <w:tcBorders>
          <w:insideH w:val="single" w:sz="6" w:space="0"/>
          <w:insideV w:val="single" w:sz="6" w:space="0"/>
        </w:tcBorders>
        <w:shd w:val="clear" w:color="auto" w:fill="F2A5AE" w:themeFill="accent6" w:themeFillTint="7F"/>
      </w:tcPr>
    </w:tblStylePr>
    <w:tblStylePr w:type="nwCell">
      <w:tblPr/>
      <w:tcPr>
        <w:shd w:val="clear" w:color="auto" w:fill="FFFFFF" w:themeFill="background1"/>
      </w:tcPr>
    </w:tblStylePr>
  </w:style>
  <w:style w:type="table" w:styleId="100">
    <w:name w:val="Medium Grid 3"/>
    <w:basedOn w:val="35"/>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1">
    <w:name w:val="Medium Grid 3 Accent 1"/>
    <w:basedOn w:val="35"/>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1DCF2"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874CB"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874CB"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874CB"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874CB"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3B9E5"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3B9E5" w:themeFill="accent1" w:themeFillTint="7F"/>
      </w:tcPr>
    </w:tblStylePr>
  </w:style>
  <w:style w:type="table" w:styleId="102">
    <w:name w:val="Medium Grid 3 Accent 2"/>
    <w:basedOn w:val="35"/>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AE0CB"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E822F"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E822F"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E822F"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E822F"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C097"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C097" w:themeFill="accent2" w:themeFillTint="7F"/>
      </w:tcPr>
    </w:tblStylePr>
  </w:style>
  <w:style w:type="table" w:styleId="103">
    <w:name w:val="Medium Grid 3 Accent 3"/>
    <w:basedOn w:val="35"/>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EEFBD"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2BA02"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2BA02"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2BA02"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2BA02"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DDF7B"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DDF7B" w:themeFill="accent3" w:themeFillTint="7F"/>
      </w:tcPr>
    </w:tblStylePr>
  </w:style>
  <w:style w:type="table" w:styleId="104">
    <w:name w:val="Medium Grid 3 Accent 4"/>
    <w:basedOn w:val="35"/>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CEED0"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5BD4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5BD4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5BD4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5BD4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ADEA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ADEA0" w:themeFill="accent4" w:themeFillTint="7F"/>
      </w:tcPr>
    </w:tblStylePr>
  </w:style>
  <w:style w:type="table" w:styleId="105">
    <w:name w:val="Medium Grid 3 Accent 5"/>
    <w:basedOn w:val="35"/>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9F1EE"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30C0B4"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30C0B4"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30C0B4"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30C0B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3E4DD"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93E4DD" w:themeFill="accent5" w:themeFillTint="7F"/>
      </w:tcPr>
    </w:tblStylePr>
  </w:style>
  <w:style w:type="table" w:styleId="106">
    <w:name w:val="Medium Grid 3 Accent 6"/>
    <w:basedOn w:val="35"/>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8D2D7"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54C5E"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54C5E"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54C5E"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54C5E"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2A5AE"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2A5AE" w:themeFill="accent6" w:themeFillTint="7F"/>
      </w:tcPr>
    </w:tblStylePr>
  </w:style>
  <w:style w:type="table" w:styleId="107">
    <w:name w:val="Dark List"/>
    <w:basedOn w:val="35"/>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8">
    <w:name w:val="Dark List Accent 1"/>
    <w:basedOn w:val="35"/>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874CB"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376A"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D54A0"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D54A0" w:themeFill="accent1" w:themeFillShade="BF"/>
      </w:tcPr>
    </w:tblStylePr>
    <w:tblStylePr w:type="band1Vert">
      <w:tblPr/>
      <w:tcPr>
        <w:tcBorders>
          <w:top w:val="nil"/>
          <w:left w:val="nil"/>
          <w:bottom w:val="nil"/>
          <w:right w:val="nil"/>
          <w:insideH w:val="nil"/>
          <w:insideV w:val="nil"/>
        </w:tcBorders>
        <w:shd w:val="clear" w:color="auto" w:fill="2D54A0" w:themeFill="accent1" w:themeFillShade="BF"/>
      </w:tcPr>
    </w:tblStylePr>
    <w:tblStylePr w:type="band1Horz">
      <w:tblPr/>
      <w:tcPr>
        <w:tcBorders>
          <w:top w:val="nil"/>
          <w:left w:val="nil"/>
          <w:bottom w:val="nil"/>
          <w:right w:val="nil"/>
          <w:insideH w:val="nil"/>
          <w:insideV w:val="nil"/>
        </w:tcBorders>
        <w:shd w:val="clear" w:color="auto" w:fill="2D54A0" w:themeFill="accent1" w:themeFillShade="BF"/>
      </w:tcPr>
    </w:tblStylePr>
  </w:style>
  <w:style w:type="table" w:styleId="109">
    <w:name w:val="Dark List Accent 2"/>
    <w:basedOn w:val="35"/>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EE822F"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33F0A"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E10"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E10" w:themeFill="accent2" w:themeFillShade="BF"/>
      </w:tcPr>
    </w:tblStylePr>
    <w:tblStylePr w:type="band1Vert">
      <w:tblPr/>
      <w:tcPr>
        <w:tcBorders>
          <w:top w:val="nil"/>
          <w:left w:val="nil"/>
          <w:bottom w:val="nil"/>
          <w:right w:val="nil"/>
          <w:insideH w:val="nil"/>
          <w:insideV w:val="nil"/>
        </w:tcBorders>
        <w:shd w:val="clear" w:color="auto" w:fill="C55E10" w:themeFill="accent2" w:themeFillShade="BF"/>
      </w:tcPr>
    </w:tblStylePr>
    <w:tblStylePr w:type="band1Horz">
      <w:tblPr/>
      <w:tcPr>
        <w:tcBorders>
          <w:top w:val="nil"/>
          <w:left w:val="nil"/>
          <w:bottom w:val="nil"/>
          <w:right w:val="nil"/>
          <w:insideH w:val="nil"/>
          <w:insideV w:val="nil"/>
        </w:tcBorders>
        <w:shd w:val="clear" w:color="auto" w:fill="C55E10" w:themeFill="accent2" w:themeFillShade="BF"/>
      </w:tcPr>
    </w:tblStylePr>
  </w:style>
  <w:style w:type="table" w:styleId="110">
    <w:name w:val="Dark List Accent 3"/>
    <w:basedOn w:val="35"/>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2BA02"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85C00"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B58B01"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B58B01" w:themeFill="accent3" w:themeFillShade="BF"/>
      </w:tcPr>
    </w:tblStylePr>
    <w:tblStylePr w:type="band1Vert">
      <w:tblPr/>
      <w:tcPr>
        <w:tcBorders>
          <w:top w:val="nil"/>
          <w:left w:val="nil"/>
          <w:bottom w:val="nil"/>
          <w:right w:val="nil"/>
          <w:insideH w:val="nil"/>
          <w:insideV w:val="nil"/>
        </w:tcBorders>
        <w:shd w:val="clear" w:color="auto" w:fill="B58B01" w:themeFill="accent3" w:themeFillShade="BF"/>
      </w:tcPr>
    </w:tblStylePr>
    <w:tblStylePr w:type="band1Horz">
      <w:tblPr/>
      <w:tcPr>
        <w:tcBorders>
          <w:top w:val="nil"/>
          <w:left w:val="nil"/>
          <w:bottom w:val="nil"/>
          <w:right w:val="nil"/>
          <w:insideH w:val="nil"/>
          <w:insideV w:val="nil"/>
        </w:tcBorders>
        <w:shd w:val="clear" w:color="auto" w:fill="B58B01" w:themeFill="accent3" w:themeFillShade="BF"/>
      </w:tcPr>
    </w:tblStylePr>
  </w:style>
  <w:style w:type="table" w:styleId="111">
    <w:name w:val="Dark List Accent 4"/>
    <w:basedOn w:val="35"/>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75BD4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A5E2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78D31"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78D31" w:themeFill="accent4" w:themeFillShade="BF"/>
      </w:tcPr>
    </w:tblStylePr>
    <w:tblStylePr w:type="band1Vert">
      <w:tblPr/>
      <w:tcPr>
        <w:tcBorders>
          <w:top w:val="nil"/>
          <w:left w:val="nil"/>
          <w:bottom w:val="nil"/>
          <w:right w:val="nil"/>
          <w:insideH w:val="nil"/>
          <w:insideV w:val="nil"/>
        </w:tcBorders>
        <w:shd w:val="clear" w:color="auto" w:fill="578D31" w:themeFill="accent4" w:themeFillShade="BF"/>
      </w:tcPr>
    </w:tblStylePr>
    <w:tblStylePr w:type="band1Horz">
      <w:tblPr/>
      <w:tcPr>
        <w:tcBorders>
          <w:top w:val="nil"/>
          <w:left w:val="nil"/>
          <w:bottom w:val="nil"/>
          <w:right w:val="nil"/>
          <w:insideH w:val="nil"/>
          <w:insideV w:val="nil"/>
        </w:tcBorders>
        <w:shd w:val="clear" w:color="auto" w:fill="578D31" w:themeFill="accent4" w:themeFillShade="BF"/>
      </w:tcPr>
    </w:tblStylePr>
  </w:style>
  <w:style w:type="table" w:styleId="112">
    <w:name w:val="Dark List Accent 5"/>
    <w:basedOn w:val="35"/>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30C0B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75F59"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38F8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38F86" w:themeFill="accent5" w:themeFillShade="BF"/>
      </w:tcPr>
    </w:tblStylePr>
    <w:tblStylePr w:type="band1Vert">
      <w:tblPr/>
      <w:tcPr>
        <w:tcBorders>
          <w:top w:val="nil"/>
          <w:left w:val="nil"/>
          <w:bottom w:val="nil"/>
          <w:right w:val="nil"/>
          <w:insideH w:val="nil"/>
          <w:insideV w:val="nil"/>
        </w:tcBorders>
        <w:shd w:val="clear" w:color="auto" w:fill="238F86" w:themeFill="accent5" w:themeFillShade="BF"/>
      </w:tcPr>
    </w:tblStylePr>
    <w:tblStylePr w:type="band1Horz">
      <w:tblPr/>
      <w:tcPr>
        <w:tcBorders>
          <w:top w:val="nil"/>
          <w:left w:val="nil"/>
          <w:bottom w:val="nil"/>
          <w:right w:val="nil"/>
          <w:insideH w:val="nil"/>
          <w:insideV w:val="nil"/>
        </w:tcBorders>
        <w:shd w:val="clear" w:color="auto" w:fill="238F86" w:themeFill="accent5" w:themeFillShade="BF"/>
      </w:tcPr>
    </w:tblStylePr>
  </w:style>
  <w:style w:type="table" w:styleId="113">
    <w:name w:val="Dark List Accent 6"/>
    <w:basedOn w:val="35"/>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E54C5E"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41320"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C71C31"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C71C31" w:themeFill="accent6" w:themeFillShade="BF"/>
      </w:tcPr>
    </w:tblStylePr>
    <w:tblStylePr w:type="band1Vert">
      <w:tblPr/>
      <w:tcPr>
        <w:tcBorders>
          <w:top w:val="nil"/>
          <w:left w:val="nil"/>
          <w:bottom w:val="nil"/>
          <w:right w:val="nil"/>
          <w:insideH w:val="nil"/>
          <w:insideV w:val="nil"/>
        </w:tcBorders>
        <w:shd w:val="clear" w:color="auto" w:fill="C71C31" w:themeFill="accent6" w:themeFillShade="BF"/>
      </w:tcPr>
    </w:tblStylePr>
    <w:tblStylePr w:type="band1Horz">
      <w:tblPr/>
      <w:tcPr>
        <w:tcBorders>
          <w:top w:val="nil"/>
          <w:left w:val="nil"/>
          <w:bottom w:val="nil"/>
          <w:right w:val="nil"/>
          <w:insideH w:val="nil"/>
          <w:insideV w:val="nil"/>
        </w:tcBorders>
        <w:shd w:val="clear" w:color="auto" w:fill="C71C31" w:themeFill="accent6" w:themeFillShade="BF"/>
      </w:tcPr>
    </w:tblStylePr>
  </w:style>
  <w:style w:type="table" w:styleId="114">
    <w:name w:val="Colorful Shading"/>
    <w:basedOn w:val="35"/>
    <w:qFormat/>
    <w:uiPriority w:val="71"/>
    <w:pPr>
      <w:spacing w:after="0" w:line="240" w:lineRule="auto"/>
    </w:pPr>
    <w:rPr>
      <w:color w:val="000000" w:themeColor="text1"/>
      <w14:textFill>
        <w14:solidFill>
          <w14:schemeClr w14:val="tx1"/>
        </w14:solidFill>
      </w14:textFill>
    </w:rPr>
    <w:tblPr>
      <w:tblBorders>
        <w:top w:val="single" w:color="EE822F"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EE822F"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1"/>
    <w:basedOn w:val="35"/>
    <w:qFormat/>
    <w:uiPriority w:val="71"/>
    <w:pPr>
      <w:spacing w:after="0" w:line="240" w:lineRule="auto"/>
    </w:pPr>
    <w:rPr>
      <w:color w:val="000000" w:themeColor="text1"/>
      <w14:textFill>
        <w14:solidFill>
          <w14:schemeClr w14:val="tx1"/>
        </w14:solidFill>
      </w14:textFill>
    </w:rPr>
    <w:tblPr>
      <w:tblBorders>
        <w:top w:val="single" w:color="EE822F" w:themeColor="accent2" w:sz="24" w:space="0"/>
        <w:left w:val="single" w:color="4874CB" w:themeColor="accent1" w:sz="4" w:space="0"/>
        <w:bottom w:val="single" w:color="4874CB" w:themeColor="accent1" w:sz="4" w:space="0"/>
        <w:right w:val="single" w:color="4874CB"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1F9" w:themeFill="accent1" w:themeFillTint="19"/>
    </w:tcPr>
    <w:tblStylePr w:type="firstRow">
      <w:rPr>
        <w:b/>
        <w:bCs/>
      </w:rPr>
      <w:tblPr/>
      <w:tcPr>
        <w:tcBorders>
          <w:top w:val="nil"/>
          <w:left w:val="nil"/>
          <w:bottom w:val="single" w:color="EE822F"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44380"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44380"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44380" w:themeFill="accent1" w:themeFillShade="99"/>
      </w:tcPr>
    </w:tblStylePr>
    <w:tblStylePr w:type="band1Vert">
      <w:tblPr/>
      <w:tcPr>
        <w:shd w:val="clear" w:color="auto" w:fill="B5C7EA" w:themeFill="accent1" w:themeFillTint="66"/>
      </w:tcPr>
    </w:tblStylePr>
    <w:tblStylePr w:type="band1Horz">
      <w:tblPr/>
      <w:tcPr>
        <w:shd w:val="clear" w:color="auto" w:fill="A3B9E5"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2"/>
    <w:basedOn w:val="35"/>
    <w:qFormat/>
    <w:uiPriority w:val="71"/>
    <w:pPr>
      <w:spacing w:after="0" w:line="240" w:lineRule="auto"/>
    </w:pPr>
    <w:rPr>
      <w:color w:val="000000" w:themeColor="text1"/>
      <w14:textFill>
        <w14:solidFill>
          <w14:schemeClr w14:val="tx1"/>
        </w14:solidFill>
      </w14:textFill>
    </w:rPr>
    <w:tblPr>
      <w:tblBorders>
        <w:top w:val="single" w:color="EE822F" w:themeColor="accent2" w:sz="24" w:space="0"/>
        <w:left w:val="single" w:color="EE822F" w:themeColor="accent2" w:sz="4" w:space="0"/>
        <w:bottom w:val="single" w:color="EE822F" w:themeColor="accent2" w:sz="4" w:space="0"/>
        <w:right w:val="single" w:color="EE822F"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color="EE822F"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E4B0C"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E4B0C"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E4B0C" w:themeFill="accent2" w:themeFillShade="99"/>
      </w:tcPr>
    </w:tblStylePr>
    <w:tblStylePr w:type="band1Vert">
      <w:tblPr/>
      <w:tcPr>
        <w:shd w:val="clear" w:color="auto" w:fill="F8CCAB" w:themeFill="accent2" w:themeFillTint="66"/>
      </w:tcPr>
    </w:tblStylePr>
    <w:tblStylePr w:type="band1Horz">
      <w:tblPr/>
      <w:tcPr>
        <w:shd w:val="clear" w:color="auto" w:fill="F6C097"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3"/>
    <w:basedOn w:val="35"/>
    <w:qFormat/>
    <w:uiPriority w:val="71"/>
    <w:pPr>
      <w:spacing w:after="0" w:line="240" w:lineRule="auto"/>
    </w:pPr>
    <w:rPr>
      <w:color w:val="000000" w:themeColor="text1"/>
      <w14:textFill>
        <w14:solidFill>
          <w14:schemeClr w14:val="tx1"/>
        </w14:solidFill>
      </w14:textFill>
    </w:rPr>
    <w:tblPr>
      <w:tblBorders>
        <w:top w:val="single" w:color="75BD42" w:themeColor="accent4" w:sz="24" w:space="0"/>
        <w:left w:val="single" w:color="F2BA02" w:themeColor="accent3" w:sz="4" w:space="0"/>
        <w:bottom w:val="single" w:color="F2BA02" w:themeColor="accent3" w:sz="4" w:space="0"/>
        <w:right w:val="single" w:color="F2BA02"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8E5" w:themeFill="accent3" w:themeFillTint="19"/>
    </w:tcPr>
    <w:tblStylePr w:type="firstRow">
      <w:rPr>
        <w:b/>
        <w:bCs/>
      </w:rPr>
      <w:tblPr/>
      <w:tcPr>
        <w:tcBorders>
          <w:top w:val="nil"/>
          <w:left w:val="nil"/>
          <w:bottom w:val="single" w:color="75BD4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16F01"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16F01"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16F01" w:themeFill="accent3" w:themeFillShade="99"/>
      </w:tcPr>
    </w:tblStylePr>
    <w:tblStylePr w:type="band1Vert">
      <w:tblPr/>
      <w:tcPr>
        <w:shd w:val="clear" w:color="auto" w:fill="FEE595" w:themeFill="accent3" w:themeFillTint="66"/>
      </w:tcPr>
    </w:tblStylePr>
    <w:tblStylePr w:type="band1Horz">
      <w:tblPr/>
      <w:tcPr>
        <w:shd w:val="clear" w:color="auto" w:fill="FDDF7B" w:themeFill="accent3" w:themeFillTint="7F"/>
      </w:tcPr>
    </w:tblStylePr>
  </w:style>
  <w:style w:type="table" w:styleId="118">
    <w:name w:val="Colorful Shading Accent 4"/>
    <w:basedOn w:val="35"/>
    <w:qFormat/>
    <w:uiPriority w:val="71"/>
    <w:pPr>
      <w:spacing w:after="0" w:line="240" w:lineRule="auto"/>
    </w:pPr>
    <w:rPr>
      <w:color w:val="000000" w:themeColor="text1"/>
      <w14:textFill>
        <w14:solidFill>
          <w14:schemeClr w14:val="tx1"/>
        </w14:solidFill>
      </w14:textFill>
    </w:rPr>
    <w:tblPr>
      <w:tblBorders>
        <w:top w:val="single" w:color="F2BA02" w:themeColor="accent3" w:sz="24" w:space="0"/>
        <w:left w:val="single" w:color="75BD42" w:themeColor="accent4" w:sz="4" w:space="0"/>
        <w:bottom w:val="single" w:color="75BD42" w:themeColor="accent4" w:sz="4" w:space="0"/>
        <w:right w:val="single" w:color="75BD4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1F8EC" w:themeFill="accent4" w:themeFillTint="19"/>
    </w:tcPr>
    <w:tblStylePr w:type="firstRow">
      <w:rPr>
        <w:b/>
        <w:bCs/>
      </w:rPr>
      <w:tblPr/>
      <w:tcPr>
        <w:tcBorders>
          <w:top w:val="nil"/>
          <w:left w:val="nil"/>
          <w:bottom w:val="single" w:color="F2BA02"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67127"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67127"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67127" w:themeFill="accent4" w:themeFillShade="99"/>
      </w:tcPr>
    </w:tblStylePr>
    <w:tblStylePr w:type="band1Vert">
      <w:tblPr/>
      <w:tcPr>
        <w:shd w:val="clear" w:color="auto" w:fill="C7E4B3" w:themeFill="accent4" w:themeFillTint="66"/>
      </w:tcPr>
    </w:tblStylePr>
    <w:tblStylePr w:type="band1Horz">
      <w:tblPr/>
      <w:tcPr>
        <w:shd w:val="clear" w:color="auto" w:fill="BADEA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Shading Accent 5"/>
    <w:basedOn w:val="35"/>
    <w:qFormat/>
    <w:uiPriority w:val="71"/>
    <w:pPr>
      <w:spacing w:after="0" w:line="240" w:lineRule="auto"/>
    </w:pPr>
    <w:rPr>
      <w:color w:val="000000" w:themeColor="text1"/>
      <w14:textFill>
        <w14:solidFill>
          <w14:schemeClr w14:val="tx1"/>
        </w14:solidFill>
      </w14:textFill>
    </w:rPr>
    <w:tblPr>
      <w:tblBorders>
        <w:top w:val="single" w:color="E54C5E" w:themeColor="accent6" w:sz="24" w:space="0"/>
        <w:left w:val="single" w:color="30C0B4" w:themeColor="accent5" w:sz="4" w:space="0"/>
        <w:bottom w:val="single" w:color="30C0B4" w:themeColor="accent5" w:sz="4" w:space="0"/>
        <w:right w:val="single" w:color="30C0B4"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9F9F8" w:themeFill="accent5" w:themeFillTint="19"/>
    </w:tcPr>
    <w:tblStylePr w:type="firstRow">
      <w:rPr>
        <w:b/>
        <w:bCs/>
      </w:rPr>
      <w:tblPr/>
      <w:tcPr>
        <w:tcBorders>
          <w:top w:val="nil"/>
          <w:left w:val="nil"/>
          <w:bottom w:val="single" w:color="E54C5E"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1C736B"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1C736B"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1C736B" w:themeFill="accent5" w:themeFillShade="99"/>
      </w:tcPr>
    </w:tblStylePr>
    <w:tblStylePr w:type="band1Vert">
      <w:tblPr/>
      <w:tcPr>
        <w:shd w:val="clear" w:color="auto" w:fill="A8E9E3" w:themeFill="accent5" w:themeFillTint="66"/>
      </w:tcPr>
    </w:tblStylePr>
    <w:tblStylePr w:type="band1Horz">
      <w:tblPr/>
      <w:tcPr>
        <w:shd w:val="clear" w:color="auto" w:fill="93E4DD"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6"/>
    <w:basedOn w:val="35"/>
    <w:qFormat/>
    <w:uiPriority w:val="71"/>
    <w:pPr>
      <w:spacing w:after="0" w:line="240" w:lineRule="auto"/>
    </w:pPr>
    <w:rPr>
      <w:color w:val="000000" w:themeColor="text1"/>
      <w14:textFill>
        <w14:solidFill>
          <w14:schemeClr w14:val="tx1"/>
        </w14:solidFill>
      </w14:textFill>
    </w:rPr>
    <w:tblPr>
      <w:tblBorders>
        <w:top w:val="single" w:color="30C0B4" w:themeColor="accent5" w:sz="24" w:space="0"/>
        <w:left w:val="single" w:color="E54C5E" w:themeColor="accent6" w:sz="4" w:space="0"/>
        <w:bottom w:val="single" w:color="E54C5E" w:themeColor="accent6" w:sz="4" w:space="0"/>
        <w:right w:val="single" w:color="E54C5E"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CEDEF" w:themeFill="accent6" w:themeFillTint="19"/>
    </w:tcPr>
    <w:tblStylePr w:type="firstRow">
      <w:rPr>
        <w:b/>
        <w:bCs/>
      </w:rPr>
      <w:tblPr/>
      <w:tcPr>
        <w:tcBorders>
          <w:top w:val="nil"/>
          <w:left w:val="nil"/>
          <w:bottom w:val="single" w:color="30C0B4"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F172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F172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F1727" w:themeFill="accent6" w:themeFillShade="99"/>
      </w:tcPr>
    </w:tblStylePr>
    <w:tblStylePr w:type="band1Vert">
      <w:tblPr/>
      <w:tcPr>
        <w:shd w:val="clear" w:color="auto" w:fill="F4B7BE" w:themeFill="accent6" w:themeFillTint="66"/>
      </w:tcPr>
    </w:tblStylePr>
    <w:tblStylePr w:type="band1Horz">
      <w:tblPr/>
      <w:tcPr>
        <w:shd w:val="clear" w:color="auto" w:fill="F2A5AE"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List"/>
    <w:basedOn w:val="35"/>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511" w:themeFill="accent2" w:themeFillShade="CC"/>
      </w:tcPr>
    </w:tblStylePr>
    <w:tblStylePr w:type="lastRow">
      <w:rPr>
        <w:b/>
        <w:bCs/>
        <w:color w:val="D36511"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2">
    <w:name w:val="Colorful List Accent 1"/>
    <w:basedOn w:val="35"/>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1F9"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511" w:themeFill="accent2" w:themeFillShade="CC"/>
      </w:tcPr>
    </w:tblStylePr>
    <w:tblStylePr w:type="lastRow">
      <w:rPr>
        <w:b/>
        <w:bCs/>
        <w:color w:val="D36511"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CF2" w:themeFill="accent1" w:themeFillTint="3F"/>
      </w:tcPr>
    </w:tblStylePr>
    <w:tblStylePr w:type="band1Horz">
      <w:tblPr/>
      <w:tcPr>
        <w:shd w:val="clear" w:color="auto" w:fill="DAE3F4" w:themeFill="accent1" w:themeFillTint="33"/>
      </w:tcPr>
    </w:tblStylePr>
  </w:style>
  <w:style w:type="table" w:styleId="123">
    <w:name w:val="Colorful List Accent 2"/>
    <w:basedOn w:val="35"/>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26511" w:themeFill="accent2" w:themeFillShade="CC"/>
      </w:tcPr>
    </w:tblStylePr>
    <w:tblStylePr w:type="lastRow">
      <w:rPr>
        <w:b/>
        <w:bCs/>
        <w:color w:val="D36511"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0CB" w:themeFill="accent2" w:themeFillTint="3F"/>
      </w:tcPr>
    </w:tblStylePr>
    <w:tblStylePr w:type="band1Horz">
      <w:tblPr/>
      <w:tcPr>
        <w:shd w:val="clear" w:color="auto" w:fill="FBE5D5" w:themeFill="accent2" w:themeFillTint="33"/>
      </w:tcPr>
    </w:tblStylePr>
  </w:style>
  <w:style w:type="table" w:styleId="124">
    <w:name w:val="Colorful List Accent 3"/>
    <w:basedOn w:val="35"/>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8E5"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D9734" w:themeFill="accent4" w:themeFillShade="CC"/>
      </w:tcPr>
    </w:tblStylePr>
    <w:tblStylePr w:type="lastRow">
      <w:rPr>
        <w:b/>
        <w:bCs/>
        <w:color w:val="5E9735"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FBD" w:themeFill="accent3" w:themeFillTint="3F"/>
      </w:tcPr>
    </w:tblStylePr>
    <w:tblStylePr w:type="band1Horz">
      <w:tblPr/>
      <w:tcPr>
        <w:shd w:val="clear" w:color="auto" w:fill="FEF2CA" w:themeFill="accent3" w:themeFillTint="33"/>
      </w:tcPr>
    </w:tblStylePr>
  </w:style>
  <w:style w:type="table" w:styleId="125">
    <w:name w:val="Colorful List Accent 4"/>
    <w:basedOn w:val="35"/>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1F8EC"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19401" w:themeFill="accent3" w:themeFillShade="CC"/>
      </w:tcPr>
    </w:tblStylePr>
    <w:tblStylePr w:type="lastRow">
      <w:rPr>
        <w:b/>
        <w:bCs/>
        <w:color w:val="C29502"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D0" w:themeFill="accent4" w:themeFillTint="3F"/>
      </w:tcPr>
    </w:tblStylePr>
    <w:tblStylePr w:type="band1Horz">
      <w:tblPr/>
      <w:tcPr>
        <w:shd w:val="clear" w:color="auto" w:fill="E3F1D9" w:themeFill="accent4" w:themeFillTint="33"/>
      </w:tcPr>
    </w:tblStylePr>
  </w:style>
  <w:style w:type="table" w:styleId="126">
    <w:name w:val="Colorful List Accent 5"/>
    <w:basedOn w:val="35"/>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9F9F8"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D51E34" w:themeFill="accent6" w:themeFillShade="CC"/>
      </w:tcPr>
    </w:tblStylePr>
    <w:tblStylePr w:type="lastRow">
      <w:rPr>
        <w:b/>
        <w:bCs/>
        <w:color w:val="D51F34"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1EE" w:themeFill="accent5" w:themeFillTint="3F"/>
      </w:tcPr>
    </w:tblStylePr>
    <w:tblStylePr w:type="band1Horz">
      <w:tblPr/>
      <w:tcPr>
        <w:shd w:val="clear" w:color="auto" w:fill="D3F4F1" w:themeFill="accent5" w:themeFillTint="33"/>
      </w:tcPr>
    </w:tblStylePr>
  </w:style>
  <w:style w:type="table" w:styleId="127">
    <w:name w:val="Colorful List Accent 6"/>
    <w:basedOn w:val="35"/>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CEDEF"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26998F" w:themeFill="accent5" w:themeFillShade="CC"/>
      </w:tcPr>
    </w:tblStylePr>
    <w:tblStylePr w:type="lastRow">
      <w:rPr>
        <w:b/>
        <w:bCs/>
        <w:color w:val="269A90"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2D7" w:themeFill="accent6" w:themeFillTint="3F"/>
      </w:tcPr>
    </w:tblStylePr>
    <w:tblStylePr w:type="band1Horz">
      <w:tblPr/>
      <w:tcPr>
        <w:shd w:val="clear" w:color="auto" w:fill="F9DBDE" w:themeFill="accent6" w:themeFillTint="33"/>
      </w:tcPr>
    </w:tblStylePr>
  </w:style>
  <w:style w:type="table" w:styleId="128">
    <w:name w:val="Colorful Grid"/>
    <w:basedOn w:val="35"/>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9">
    <w:name w:val="Colorful Grid Accent 1"/>
    <w:basedOn w:val="35"/>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3F4" w:themeFill="accent1" w:themeFillTint="33"/>
    </w:tcPr>
    <w:tblStylePr w:type="firstRow">
      <w:rPr>
        <w:b/>
        <w:bCs/>
      </w:rPr>
      <w:tblPr/>
      <w:tcPr>
        <w:shd w:val="clear" w:color="auto" w:fill="B5C7EA" w:themeFill="accent1" w:themeFillTint="66"/>
      </w:tcPr>
    </w:tblStylePr>
    <w:tblStylePr w:type="lastRow">
      <w:rPr>
        <w:b/>
        <w:bCs/>
        <w:color w:val="000000" w:themeColor="text1"/>
        <w14:textFill>
          <w14:solidFill>
            <w14:schemeClr w14:val="tx1"/>
          </w14:solidFill>
        </w14:textFill>
      </w:rPr>
      <w:tblPr/>
      <w:tcPr>
        <w:shd w:val="clear" w:color="auto" w:fill="B5C7EA" w:themeFill="accent1" w:themeFillTint="66"/>
      </w:tcPr>
    </w:tblStylePr>
    <w:tblStylePr w:type="firstCol">
      <w:rPr>
        <w:color w:val="FFFFFF" w:themeColor="background1"/>
        <w14:textFill>
          <w14:solidFill>
            <w14:schemeClr w14:val="bg1"/>
          </w14:solidFill>
        </w14:textFill>
      </w:rPr>
      <w:tblPr/>
      <w:tcPr>
        <w:shd w:val="clear" w:color="auto" w:fill="2D54A0" w:themeFill="accent1" w:themeFillShade="BF"/>
      </w:tcPr>
    </w:tblStylePr>
    <w:tblStylePr w:type="lastCol">
      <w:rPr>
        <w:color w:val="FFFFFF" w:themeColor="background1"/>
        <w14:textFill>
          <w14:solidFill>
            <w14:schemeClr w14:val="bg1"/>
          </w14:solidFill>
        </w14:textFill>
      </w:rPr>
      <w:tblPr/>
      <w:tcPr>
        <w:shd w:val="clear" w:color="auto" w:fill="2D54A0" w:themeFill="accent1" w:themeFillShade="BF"/>
      </w:tcPr>
    </w:tblStylePr>
    <w:tblStylePr w:type="band1Vert">
      <w:tblPr/>
      <w:tcPr>
        <w:shd w:val="clear" w:color="auto" w:fill="A3B9E5" w:themeFill="accent1" w:themeFillTint="7F"/>
      </w:tcPr>
    </w:tblStylePr>
    <w:tblStylePr w:type="band1Horz">
      <w:tblPr/>
      <w:tcPr>
        <w:shd w:val="clear" w:color="auto" w:fill="A3B9E5" w:themeFill="accent1" w:themeFillTint="7F"/>
      </w:tcPr>
    </w:tblStylePr>
  </w:style>
  <w:style w:type="table" w:styleId="130">
    <w:name w:val="Colorful Grid Accent 2"/>
    <w:basedOn w:val="35"/>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BE5D5" w:themeFill="accent2" w:themeFillTint="33"/>
    </w:tcPr>
    <w:tblStylePr w:type="firstRow">
      <w:rPr>
        <w:b/>
        <w:bCs/>
      </w:rPr>
      <w:tblPr/>
      <w:tcPr>
        <w:shd w:val="clear" w:color="auto" w:fill="F8CCAB" w:themeFill="accent2" w:themeFillTint="66"/>
      </w:tcPr>
    </w:tblStylePr>
    <w:tblStylePr w:type="lastRow">
      <w:rPr>
        <w:b/>
        <w:bCs/>
        <w:color w:val="000000" w:themeColor="text1"/>
        <w14:textFill>
          <w14:solidFill>
            <w14:schemeClr w14:val="tx1"/>
          </w14:solidFill>
        </w14:textFill>
      </w:rPr>
      <w:tblPr/>
      <w:tcPr>
        <w:shd w:val="clear" w:color="auto" w:fill="F8CCAB" w:themeFill="accent2" w:themeFillTint="66"/>
      </w:tcPr>
    </w:tblStylePr>
    <w:tblStylePr w:type="firstCol">
      <w:rPr>
        <w:color w:val="FFFFFF" w:themeColor="background1"/>
        <w14:textFill>
          <w14:solidFill>
            <w14:schemeClr w14:val="bg1"/>
          </w14:solidFill>
        </w14:textFill>
      </w:rPr>
      <w:tblPr/>
      <w:tcPr>
        <w:shd w:val="clear" w:color="auto" w:fill="C55E10" w:themeFill="accent2" w:themeFillShade="BF"/>
      </w:tcPr>
    </w:tblStylePr>
    <w:tblStylePr w:type="lastCol">
      <w:rPr>
        <w:color w:val="FFFFFF" w:themeColor="background1"/>
        <w14:textFill>
          <w14:solidFill>
            <w14:schemeClr w14:val="bg1"/>
          </w14:solidFill>
        </w14:textFill>
      </w:rPr>
      <w:tblPr/>
      <w:tcPr>
        <w:shd w:val="clear" w:color="auto" w:fill="C55E10" w:themeFill="accent2" w:themeFillShade="BF"/>
      </w:tcPr>
    </w:tblStylePr>
    <w:tblStylePr w:type="band1Vert">
      <w:tblPr/>
      <w:tcPr>
        <w:shd w:val="clear" w:color="auto" w:fill="F6C097" w:themeFill="accent2" w:themeFillTint="7F"/>
      </w:tcPr>
    </w:tblStylePr>
    <w:tblStylePr w:type="band1Horz">
      <w:tblPr/>
      <w:tcPr>
        <w:shd w:val="clear" w:color="auto" w:fill="F6C097" w:themeFill="accent2" w:themeFillTint="7F"/>
      </w:tcPr>
    </w:tblStylePr>
  </w:style>
  <w:style w:type="table" w:styleId="131">
    <w:name w:val="Colorful Grid Accent 3"/>
    <w:basedOn w:val="35"/>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EF2CA" w:themeFill="accent3" w:themeFillTint="33"/>
    </w:tcPr>
    <w:tblStylePr w:type="firstRow">
      <w:rPr>
        <w:b/>
        <w:bCs/>
      </w:rPr>
      <w:tblPr/>
      <w:tcPr>
        <w:shd w:val="clear" w:color="auto" w:fill="FEE595" w:themeFill="accent3" w:themeFillTint="66"/>
      </w:tcPr>
    </w:tblStylePr>
    <w:tblStylePr w:type="lastRow">
      <w:rPr>
        <w:b/>
        <w:bCs/>
        <w:color w:val="000000" w:themeColor="text1"/>
        <w14:textFill>
          <w14:solidFill>
            <w14:schemeClr w14:val="tx1"/>
          </w14:solidFill>
        </w14:textFill>
      </w:rPr>
      <w:tblPr/>
      <w:tcPr>
        <w:shd w:val="clear" w:color="auto" w:fill="FEE595" w:themeFill="accent3" w:themeFillTint="66"/>
      </w:tcPr>
    </w:tblStylePr>
    <w:tblStylePr w:type="firstCol">
      <w:rPr>
        <w:color w:val="FFFFFF" w:themeColor="background1"/>
        <w14:textFill>
          <w14:solidFill>
            <w14:schemeClr w14:val="bg1"/>
          </w14:solidFill>
        </w14:textFill>
      </w:rPr>
      <w:tblPr/>
      <w:tcPr>
        <w:shd w:val="clear" w:color="auto" w:fill="B58B01" w:themeFill="accent3" w:themeFillShade="BF"/>
      </w:tcPr>
    </w:tblStylePr>
    <w:tblStylePr w:type="lastCol">
      <w:rPr>
        <w:color w:val="FFFFFF" w:themeColor="background1"/>
        <w14:textFill>
          <w14:solidFill>
            <w14:schemeClr w14:val="bg1"/>
          </w14:solidFill>
        </w14:textFill>
      </w:rPr>
      <w:tblPr/>
      <w:tcPr>
        <w:shd w:val="clear" w:color="auto" w:fill="B58B01" w:themeFill="accent3" w:themeFillShade="BF"/>
      </w:tcPr>
    </w:tblStylePr>
    <w:tblStylePr w:type="band1Vert">
      <w:tblPr/>
      <w:tcPr>
        <w:shd w:val="clear" w:color="auto" w:fill="FDDF7B" w:themeFill="accent3" w:themeFillTint="7F"/>
      </w:tcPr>
    </w:tblStylePr>
    <w:tblStylePr w:type="band1Horz">
      <w:tblPr/>
      <w:tcPr>
        <w:shd w:val="clear" w:color="auto" w:fill="FDDF7B" w:themeFill="accent3" w:themeFillTint="7F"/>
      </w:tcPr>
    </w:tblStylePr>
  </w:style>
  <w:style w:type="table" w:styleId="132">
    <w:name w:val="Colorful Grid Accent 4"/>
    <w:basedOn w:val="35"/>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3F1D9" w:themeFill="accent4" w:themeFillTint="33"/>
    </w:tcPr>
    <w:tblStylePr w:type="firstRow">
      <w:rPr>
        <w:b/>
        <w:bCs/>
      </w:rPr>
      <w:tblPr/>
      <w:tcPr>
        <w:shd w:val="clear" w:color="auto" w:fill="C7E4B3" w:themeFill="accent4" w:themeFillTint="66"/>
      </w:tcPr>
    </w:tblStylePr>
    <w:tblStylePr w:type="lastRow">
      <w:rPr>
        <w:b/>
        <w:bCs/>
        <w:color w:val="000000" w:themeColor="text1"/>
        <w14:textFill>
          <w14:solidFill>
            <w14:schemeClr w14:val="tx1"/>
          </w14:solidFill>
        </w14:textFill>
      </w:rPr>
      <w:tblPr/>
      <w:tcPr>
        <w:shd w:val="clear" w:color="auto" w:fill="C7E4B3" w:themeFill="accent4" w:themeFillTint="66"/>
      </w:tcPr>
    </w:tblStylePr>
    <w:tblStylePr w:type="firstCol">
      <w:rPr>
        <w:color w:val="FFFFFF" w:themeColor="background1"/>
        <w14:textFill>
          <w14:solidFill>
            <w14:schemeClr w14:val="bg1"/>
          </w14:solidFill>
        </w14:textFill>
      </w:rPr>
      <w:tblPr/>
      <w:tcPr>
        <w:shd w:val="clear" w:color="auto" w:fill="578D31" w:themeFill="accent4" w:themeFillShade="BF"/>
      </w:tcPr>
    </w:tblStylePr>
    <w:tblStylePr w:type="lastCol">
      <w:rPr>
        <w:color w:val="FFFFFF" w:themeColor="background1"/>
        <w14:textFill>
          <w14:solidFill>
            <w14:schemeClr w14:val="bg1"/>
          </w14:solidFill>
        </w14:textFill>
      </w:rPr>
      <w:tblPr/>
      <w:tcPr>
        <w:shd w:val="clear" w:color="auto" w:fill="578D31" w:themeFill="accent4" w:themeFillShade="BF"/>
      </w:tcPr>
    </w:tblStylePr>
    <w:tblStylePr w:type="band1Vert">
      <w:tblPr/>
      <w:tcPr>
        <w:shd w:val="clear" w:color="auto" w:fill="BADEA0" w:themeFill="accent4" w:themeFillTint="7F"/>
      </w:tcPr>
    </w:tblStylePr>
    <w:tblStylePr w:type="band1Horz">
      <w:tblPr/>
      <w:tcPr>
        <w:shd w:val="clear" w:color="auto" w:fill="BADEA0" w:themeFill="accent4" w:themeFillTint="7F"/>
      </w:tcPr>
    </w:tblStylePr>
  </w:style>
  <w:style w:type="table" w:styleId="133">
    <w:name w:val="Colorful Grid Accent 5"/>
    <w:basedOn w:val="35"/>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3F4F1" w:themeFill="accent5" w:themeFillTint="33"/>
    </w:tcPr>
    <w:tblStylePr w:type="firstRow">
      <w:rPr>
        <w:b/>
        <w:bCs/>
      </w:rPr>
      <w:tblPr/>
      <w:tcPr>
        <w:shd w:val="clear" w:color="auto" w:fill="A8E9E3" w:themeFill="accent5" w:themeFillTint="66"/>
      </w:tcPr>
    </w:tblStylePr>
    <w:tblStylePr w:type="lastRow">
      <w:rPr>
        <w:b/>
        <w:bCs/>
        <w:color w:val="000000" w:themeColor="text1"/>
        <w14:textFill>
          <w14:solidFill>
            <w14:schemeClr w14:val="tx1"/>
          </w14:solidFill>
        </w14:textFill>
      </w:rPr>
      <w:tblPr/>
      <w:tcPr>
        <w:shd w:val="clear" w:color="auto" w:fill="A8E9E3" w:themeFill="accent5" w:themeFillTint="66"/>
      </w:tcPr>
    </w:tblStylePr>
    <w:tblStylePr w:type="firstCol">
      <w:rPr>
        <w:color w:val="FFFFFF" w:themeColor="background1"/>
        <w14:textFill>
          <w14:solidFill>
            <w14:schemeClr w14:val="bg1"/>
          </w14:solidFill>
        </w14:textFill>
      </w:rPr>
      <w:tblPr/>
      <w:tcPr>
        <w:shd w:val="clear" w:color="auto" w:fill="238F86" w:themeFill="accent5" w:themeFillShade="BF"/>
      </w:tcPr>
    </w:tblStylePr>
    <w:tblStylePr w:type="lastCol">
      <w:rPr>
        <w:color w:val="FFFFFF" w:themeColor="background1"/>
        <w14:textFill>
          <w14:solidFill>
            <w14:schemeClr w14:val="bg1"/>
          </w14:solidFill>
        </w14:textFill>
      </w:rPr>
      <w:tblPr/>
      <w:tcPr>
        <w:shd w:val="clear" w:color="auto" w:fill="238F86" w:themeFill="accent5" w:themeFillShade="BF"/>
      </w:tcPr>
    </w:tblStylePr>
    <w:tblStylePr w:type="band1Vert">
      <w:tblPr/>
      <w:tcPr>
        <w:shd w:val="clear" w:color="auto" w:fill="93E4DD" w:themeFill="accent5" w:themeFillTint="7F"/>
      </w:tcPr>
    </w:tblStylePr>
    <w:tblStylePr w:type="band1Horz">
      <w:tblPr/>
      <w:tcPr>
        <w:shd w:val="clear" w:color="auto" w:fill="93E4DD" w:themeFill="accent5" w:themeFillTint="7F"/>
      </w:tcPr>
    </w:tblStylePr>
  </w:style>
  <w:style w:type="table" w:styleId="134">
    <w:name w:val="Colorful Grid Accent 6"/>
    <w:basedOn w:val="35"/>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9DBDE" w:themeFill="accent6" w:themeFillTint="33"/>
    </w:tcPr>
    <w:tblStylePr w:type="firstRow">
      <w:rPr>
        <w:b/>
        <w:bCs/>
      </w:rPr>
      <w:tblPr/>
      <w:tcPr>
        <w:shd w:val="clear" w:color="auto" w:fill="F4B7BE" w:themeFill="accent6" w:themeFillTint="66"/>
      </w:tcPr>
    </w:tblStylePr>
    <w:tblStylePr w:type="lastRow">
      <w:rPr>
        <w:b/>
        <w:bCs/>
        <w:color w:val="000000" w:themeColor="text1"/>
        <w14:textFill>
          <w14:solidFill>
            <w14:schemeClr w14:val="tx1"/>
          </w14:solidFill>
        </w14:textFill>
      </w:rPr>
      <w:tblPr/>
      <w:tcPr>
        <w:shd w:val="clear" w:color="auto" w:fill="F4B7BE" w:themeFill="accent6" w:themeFillTint="66"/>
      </w:tcPr>
    </w:tblStylePr>
    <w:tblStylePr w:type="firstCol">
      <w:rPr>
        <w:color w:val="FFFFFF" w:themeColor="background1"/>
        <w14:textFill>
          <w14:solidFill>
            <w14:schemeClr w14:val="bg1"/>
          </w14:solidFill>
        </w14:textFill>
      </w:rPr>
      <w:tblPr/>
      <w:tcPr>
        <w:shd w:val="clear" w:color="auto" w:fill="C71C31" w:themeFill="accent6" w:themeFillShade="BF"/>
      </w:tcPr>
    </w:tblStylePr>
    <w:tblStylePr w:type="lastCol">
      <w:rPr>
        <w:color w:val="FFFFFF" w:themeColor="background1"/>
        <w14:textFill>
          <w14:solidFill>
            <w14:schemeClr w14:val="bg1"/>
          </w14:solidFill>
        </w14:textFill>
      </w:rPr>
      <w:tblPr/>
      <w:tcPr>
        <w:shd w:val="clear" w:color="auto" w:fill="C71C31" w:themeFill="accent6" w:themeFillShade="BF"/>
      </w:tcPr>
    </w:tblStylePr>
    <w:tblStylePr w:type="band1Vert">
      <w:tblPr/>
      <w:tcPr>
        <w:shd w:val="clear" w:color="auto" w:fill="F2A5AE" w:themeFill="accent6" w:themeFillTint="7F"/>
      </w:tcPr>
    </w:tblStylePr>
    <w:tblStylePr w:type="band1Horz">
      <w:tblPr/>
      <w:tcPr>
        <w:shd w:val="clear" w:color="auto" w:fill="F2A5AE" w:themeFill="accent6" w:themeFillTint="7F"/>
      </w:tcPr>
    </w:tblStylePr>
  </w:style>
  <w:style w:type="character" w:styleId="136">
    <w:name w:val="Strong"/>
    <w:basedOn w:val="144"/>
    <w:qFormat/>
    <w:uiPriority w:val="22"/>
    <w:rPr>
      <w:b/>
      <w:bCs/>
    </w:rPr>
  </w:style>
  <w:style w:type="character" w:styleId="137">
    <w:name w:val="Emphasis"/>
    <w:basedOn w:val="144"/>
    <w:qFormat/>
    <w:uiPriority w:val="20"/>
    <w:rPr>
      <w:i/>
      <w:iCs/>
    </w:rPr>
  </w:style>
  <w:style w:type="character" w:customStyle="1" w:styleId="138">
    <w:name w:val="Body Text Char"/>
    <w:basedOn w:val="144"/>
    <w:qFormat/>
    <w:uiPriority w:val="99"/>
  </w:style>
  <w:style w:type="paragraph" w:customStyle="1" w:styleId="139">
    <w:name w:val="参考文献条目"/>
    <w:next w:val="1"/>
    <w:qFormat/>
    <w:uiPriority w:val="0"/>
    <w:pPr>
      <w:widowControl w:val="0"/>
      <w:adjustRightInd w:val="0"/>
      <w:spacing w:line="300" w:lineRule="auto"/>
      <w:ind w:left="200" w:hanging="200" w:hangingChars="200"/>
      <w:jc w:val="both"/>
    </w:pPr>
    <w:rPr>
      <w:rFonts w:ascii="Times New Roman" w:hAnsi="Times New Roman" w:eastAsia="SimSun" w:cs="SimSun"/>
      <w:kern w:val="2"/>
      <w:sz w:val="21"/>
      <w:szCs w:val="21"/>
      <w:lang w:bidi="ar-SA"/>
    </w:rPr>
  </w:style>
  <w:style w:type="character" w:customStyle="1" w:styleId="140">
    <w:name w:val="Header Char"/>
    <w:basedOn w:val="144"/>
    <w:link w:val="26"/>
    <w:qFormat/>
    <w:uiPriority w:val="99"/>
  </w:style>
  <w:style w:type="character" w:customStyle="1" w:styleId="141">
    <w:name w:val="Footer Char"/>
    <w:basedOn w:val="144"/>
    <w:link w:val="25"/>
    <w:qFormat/>
    <w:uiPriority w:val="99"/>
  </w:style>
  <w:style w:type="paragraph" w:styleId="142">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3">
    <w:name w:val="Heading 1 Char"/>
    <w:basedOn w:val="144"/>
    <w:link w:val="3"/>
    <w:qFormat/>
    <w:uiPriority w:val="9"/>
    <w:rPr>
      <w:rFonts w:ascii="Times New Roman" w:hAnsi="Times New Roman" w:eastAsia="SimHei" w:cs="Times New Roman"/>
      <w:color w:val="000000"/>
      <w:kern w:val="44"/>
      <w:sz w:val="32"/>
      <w:szCs w:val="44"/>
    </w:rPr>
  </w:style>
  <w:style w:type="character" w:customStyle="1" w:styleId="145">
    <w:name w:val="Heading 2 Char"/>
    <w:basedOn w:val="144"/>
    <w:qFormat/>
    <w:uiPriority w:val="9"/>
    <w:rPr>
      <w:rFonts w:asciiTheme="majorHAnsi" w:hAnsiTheme="majorHAnsi" w:eastAsiaTheme="majorEastAsia" w:cstheme="majorBidi"/>
      <w:b/>
      <w:bCs/>
      <w:color w:val="4874CB" w:themeColor="accent1"/>
      <w:sz w:val="26"/>
      <w:szCs w:val="26"/>
      <w14:textFill>
        <w14:solidFill>
          <w14:schemeClr w14:val="accent1"/>
        </w14:solidFill>
      </w14:textFill>
    </w:rPr>
  </w:style>
  <w:style w:type="character" w:customStyle="1" w:styleId="146">
    <w:name w:val="Heading 3 Char"/>
    <w:basedOn w:val="144"/>
    <w:qFormat/>
    <w:uiPriority w:val="9"/>
    <w:rPr>
      <w:rFonts w:asciiTheme="majorHAnsi" w:hAnsiTheme="majorHAnsi" w:eastAsiaTheme="majorEastAsia" w:cstheme="majorBidi"/>
      <w:b/>
      <w:bCs/>
      <w:color w:val="4874CB" w:themeColor="accent1"/>
      <w14:textFill>
        <w14:solidFill>
          <w14:schemeClr w14:val="accent1"/>
        </w14:solidFill>
      </w14:textFill>
    </w:rPr>
  </w:style>
  <w:style w:type="character" w:customStyle="1" w:styleId="147">
    <w:name w:val="Title Char"/>
    <w:basedOn w:val="144"/>
    <w:qFormat/>
    <w:uiPriority w:val="10"/>
    <w:rPr>
      <w:rFonts w:asciiTheme="majorHAnsi" w:hAnsiTheme="majorHAnsi" w:eastAsiaTheme="majorEastAsia" w:cstheme="majorBidi"/>
      <w:color w:val="333F50" w:themeColor="text2" w:themeShade="BF"/>
      <w:spacing w:val="5"/>
      <w:kern w:val="28"/>
      <w:sz w:val="52"/>
      <w:szCs w:val="52"/>
    </w:rPr>
  </w:style>
  <w:style w:type="character" w:customStyle="1" w:styleId="148">
    <w:name w:val="Subtitle Char"/>
    <w:basedOn w:val="144"/>
    <w:qFormat/>
    <w:uiPriority w:val="11"/>
    <w:rPr>
      <w:rFonts w:asciiTheme="majorHAnsi" w:hAnsiTheme="majorHAnsi" w:eastAsiaTheme="majorEastAsia" w:cstheme="majorBidi"/>
      <w:i/>
      <w:iCs/>
      <w:color w:val="4874CB" w:themeColor="accent1"/>
      <w:spacing w:val="15"/>
      <w:sz w:val="24"/>
      <w:szCs w:val="24"/>
      <w14:textFill>
        <w14:solidFill>
          <w14:schemeClr w14:val="accent1"/>
        </w14:solidFill>
      </w14:textFill>
    </w:rPr>
  </w:style>
  <w:style w:type="paragraph" w:styleId="149">
    <w:name w:val="List Paragraph"/>
    <w:basedOn w:val="1"/>
    <w:qFormat/>
    <w:uiPriority w:val="34"/>
    <w:pPr>
      <w:ind w:left="720"/>
      <w:contextualSpacing/>
    </w:pPr>
  </w:style>
  <w:style w:type="character" w:customStyle="1" w:styleId="150">
    <w:name w:val="Body Text 2 Char"/>
    <w:basedOn w:val="144"/>
    <w:link w:val="31"/>
    <w:qFormat/>
    <w:uiPriority w:val="99"/>
  </w:style>
  <w:style w:type="character" w:customStyle="1" w:styleId="151">
    <w:name w:val="Body Text 3 Char"/>
    <w:basedOn w:val="144"/>
    <w:link w:val="17"/>
    <w:qFormat/>
    <w:uiPriority w:val="99"/>
    <w:rPr>
      <w:sz w:val="16"/>
      <w:szCs w:val="16"/>
    </w:rPr>
  </w:style>
  <w:style w:type="character" w:customStyle="1" w:styleId="152">
    <w:name w:val="Macro Text Char"/>
    <w:basedOn w:val="144"/>
    <w:link w:val="2"/>
    <w:qFormat/>
    <w:uiPriority w:val="99"/>
    <w:rPr>
      <w:rFonts w:ascii="Courier" w:hAnsi="Courier"/>
      <w:sz w:val="20"/>
      <w:szCs w:val="20"/>
    </w:rPr>
  </w:style>
  <w:style w:type="paragraph" w:styleId="153">
    <w:name w:val="Quote"/>
    <w:basedOn w:val="1"/>
    <w:next w:val="1"/>
    <w:link w:val="154"/>
    <w:qFormat/>
    <w:uiPriority w:val="29"/>
    <w:rPr>
      <w:i/>
      <w:iCs/>
      <w:color w:val="000000" w:themeColor="text1"/>
      <w14:textFill>
        <w14:solidFill>
          <w14:schemeClr w14:val="tx1"/>
        </w14:solidFill>
      </w14:textFill>
    </w:rPr>
  </w:style>
  <w:style w:type="character" w:customStyle="1" w:styleId="154">
    <w:name w:val="Quote Char"/>
    <w:basedOn w:val="144"/>
    <w:link w:val="153"/>
    <w:qFormat/>
    <w:uiPriority w:val="29"/>
    <w:rPr>
      <w:i/>
      <w:iCs/>
      <w:color w:val="000000" w:themeColor="text1"/>
      <w14:textFill>
        <w14:solidFill>
          <w14:schemeClr w14:val="tx1"/>
        </w14:solidFill>
      </w14:textFill>
    </w:rPr>
  </w:style>
  <w:style w:type="character" w:customStyle="1" w:styleId="155">
    <w:name w:val="Heading 4 Char"/>
    <w:basedOn w:val="144"/>
    <w:link w:val="6"/>
    <w:semiHidden/>
    <w:qFormat/>
    <w:uiPriority w:val="9"/>
    <w:rPr>
      <w:rFonts w:ascii="Times New Roman" w:hAnsi="Times New Roman" w:eastAsia="SimHei" w:cs="Times New Roman"/>
      <w:bCs/>
      <w:kern w:val="2"/>
      <w:sz w:val="28"/>
      <w:szCs w:val="28"/>
    </w:rPr>
  </w:style>
  <w:style w:type="character" w:customStyle="1" w:styleId="156">
    <w:name w:val="Heading 5 Char"/>
    <w:basedOn w:val="144"/>
    <w:link w:val="7"/>
    <w:semiHidden/>
    <w:qFormat/>
    <w:uiPriority w:val="9"/>
    <w:rPr>
      <w:rFonts w:ascii="Times New Roman" w:hAnsi="Times New Roman" w:eastAsia="SimHei" w:cs="Times New Roman"/>
      <w:bCs/>
      <w:kern w:val="2"/>
      <w:sz w:val="28"/>
      <w:szCs w:val="28"/>
    </w:rPr>
  </w:style>
  <w:style w:type="character" w:customStyle="1" w:styleId="157">
    <w:name w:val="Heading 6 Char"/>
    <w:basedOn w:val="144"/>
    <w:link w:val="8"/>
    <w:semiHidden/>
    <w:qFormat/>
    <w:uiPriority w:val="9"/>
    <w:rPr>
      <w:rFonts w:ascii="Times New Roman" w:hAnsi="Times New Roman" w:eastAsia="SimHei" w:cs="Times New Roman"/>
      <w:bCs/>
      <w:kern w:val="2"/>
      <w:sz w:val="28"/>
      <w:szCs w:val="24"/>
    </w:rPr>
  </w:style>
  <w:style w:type="character" w:customStyle="1" w:styleId="158">
    <w:name w:val="Heading 7 Char"/>
    <w:basedOn w:val="144"/>
    <w:link w:val="9"/>
    <w:semiHidden/>
    <w:qFormat/>
    <w:uiPriority w:val="9"/>
    <w:rPr>
      <w:rFonts w:ascii="Times New Roman" w:hAnsi="Times New Roman" w:eastAsia="SimHei" w:cs="Times New Roman"/>
      <w:bCs/>
      <w:kern w:val="2"/>
      <w:sz w:val="24"/>
      <w:szCs w:val="24"/>
    </w:rPr>
  </w:style>
  <w:style w:type="character" w:customStyle="1" w:styleId="159">
    <w:name w:val="Heading 8 Char"/>
    <w:basedOn w:val="144"/>
    <w:link w:val="10"/>
    <w:semiHidden/>
    <w:qFormat/>
    <w:uiPriority w:val="9"/>
    <w:rPr>
      <w:rFonts w:ascii="Times New Roman" w:hAnsi="Times New Roman" w:eastAsia="SimHei" w:cs="Times New Roman"/>
      <w:kern w:val="2"/>
      <w:sz w:val="24"/>
      <w:szCs w:val="24"/>
    </w:rPr>
  </w:style>
  <w:style w:type="character" w:customStyle="1" w:styleId="160">
    <w:name w:val="Heading 9 Char"/>
    <w:basedOn w:val="144"/>
    <w:link w:val="11"/>
    <w:semiHidden/>
    <w:qFormat/>
    <w:uiPriority w:val="9"/>
    <w:rPr>
      <w:rFonts w:ascii="Times New Roman" w:hAnsi="Times New Roman" w:eastAsia="SimHei" w:cs="Times New Roman"/>
      <w:kern w:val="2"/>
      <w:sz w:val="21"/>
      <w:szCs w:val="21"/>
    </w:rPr>
  </w:style>
  <w:style w:type="paragraph" w:styleId="161">
    <w:name w:val="Intense Quote"/>
    <w:basedOn w:val="1"/>
    <w:next w:val="1"/>
    <w:link w:val="162"/>
    <w:qFormat/>
    <w:uiPriority w:val="30"/>
    <w:pPr>
      <w:pBdr>
        <w:bottom w:val="single" w:color="4874CB" w:themeColor="accent1" w:sz="4" w:space="4"/>
      </w:pBdr>
      <w:spacing w:before="200" w:after="280"/>
      <w:ind w:left="936" w:right="936"/>
    </w:pPr>
    <w:rPr>
      <w:b/>
      <w:bCs/>
      <w:i/>
      <w:iCs/>
      <w:color w:val="4874CB" w:themeColor="accent1"/>
      <w14:textFill>
        <w14:solidFill>
          <w14:schemeClr w14:val="accent1"/>
        </w14:solidFill>
      </w14:textFill>
    </w:rPr>
  </w:style>
  <w:style w:type="character" w:customStyle="1" w:styleId="162">
    <w:name w:val="Intense Quote Char"/>
    <w:basedOn w:val="144"/>
    <w:link w:val="161"/>
    <w:qFormat/>
    <w:uiPriority w:val="30"/>
    <w:rPr>
      <w:b/>
      <w:bCs/>
      <w:i/>
      <w:iCs/>
      <w:color w:val="4874CB" w:themeColor="accent1"/>
      <w14:textFill>
        <w14:solidFill>
          <w14:schemeClr w14:val="accent1"/>
        </w14:solidFill>
      </w14:textFill>
    </w:rPr>
  </w:style>
  <w:style w:type="character" w:customStyle="1" w:styleId="163">
    <w:name w:val="Subtle Emphasis"/>
    <w:basedOn w:val="144"/>
    <w:qFormat/>
    <w:uiPriority w:val="19"/>
    <w:rPr>
      <w:i/>
      <w:iCs/>
      <w:color w:val="808080" w:themeColor="text1" w:themeTint="80"/>
      <w14:textFill>
        <w14:solidFill>
          <w14:schemeClr w14:val="tx1">
            <w14:lumMod w14:val="50000"/>
            <w14:lumOff w14:val="50000"/>
          </w14:schemeClr>
        </w14:solidFill>
      </w14:textFill>
    </w:rPr>
  </w:style>
  <w:style w:type="character" w:customStyle="1" w:styleId="164">
    <w:name w:val="Intense Emphasis"/>
    <w:basedOn w:val="144"/>
    <w:qFormat/>
    <w:uiPriority w:val="21"/>
    <w:rPr>
      <w:b/>
      <w:bCs/>
      <w:i/>
      <w:iCs/>
      <w:color w:val="4874CB" w:themeColor="accent1"/>
      <w14:textFill>
        <w14:solidFill>
          <w14:schemeClr w14:val="accent1"/>
        </w14:solidFill>
      </w14:textFill>
    </w:rPr>
  </w:style>
  <w:style w:type="character" w:customStyle="1" w:styleId="165">
    <w:name w:val="Subtle Reference"/>
    <w:basedOn w:val="144"/>
    <w:qFormat/>
    <w:uiPriority w:val="31"/>
    <w:rPr>
      <w:smallCaps/>
      <w:color w:val="EE822F" w:themeColor="accent2"/>
      <w:u w:val="single"/>
      <w14:textFill>
        <w14:solidFill>
          <w14:schemeClr w14:val="accent2"/>
        </w14:solidFill>
      </w14:textFill>
    </w:rPr>
  </w:style>
  <w:style w:type="character" w:customStyle="1" w:styleId="166">
    <w:name w:val="Intense Reference"/>
    <w:basedOn w:val="144"/>
    <w:qFormat/>
    <w:uiPriority w:val="32"/>
    <w:rPr>
      <w:b/>
      <w:bCs/>
      <w:smallCaps/>
      <w:color w:val="EE822F" w:themeColor="accent2"/>
      <w:spacing w:val="5"/>
      <w:u w:val="single"/>
      <w14:textFill>
        <w14:solidFill>
          <w14:schemeClr w14:val="accent2"/>
        </w14:solidFill>
      </w14:textFill>
    </w:rPr>
  </w:style>
  <w:style w:type="character" w:customStyle="1" w:styleId="167">
    <w:name w:val="Book Title"/>
    <w:basedOn w:val="144"/>
    <w:qFormat/>
    <w:uiPriority w:val="33"/>
    <w:rPr>
      <w:b/>
      <w:bCs/>
      <w:smallCaps/>
      <w:spacing w:val="5"/>
    </w:rPr>
  </w:style>
  <w:style w:type="paragraph" w:customStyle="1" w:styleId="168">
    <w:name w:val="TOC Heading"/>
    <w:basedOn w:val="3"/>
    <w:next w:val="1"/>
    <w:semiHidden/>
    <w:unhideWhenUsed/>
    <w:qFormat/>
    <w:uiPriority w:val="39"/>
    <w:pPr>
      <w:outlineLvl w:val="9"/>
    </w:pPr>
  </w:style>
  <w:style w:type="paragraph" w:customStyle="1" w:styleId="169">
    <w:name w:val="题注1"/>
    <w:next w:val="1"/>
    <w:qFormat/>
    <w:uiPriority w:val="0"/>
    <w:pPr>
      <w:widowControl w:val="0"/>
      <w:adjustRightInd w:val="0"/>
      <w:spacing w:before="240" w:after="120" w:line="288" w:lineRule="auto"/>
      <w:jc w:val="center"/>
    </w:pPr>
    <w:rPr>
      <w:rFonts w:ascii="Times New Roman" w:hAnsi="Times New Roman" w:eastAsia="SimSun" w:cs="SimSun"/>
      <w:kern w:val="2"/>
      <w:sz w:val="24"/>
      <w:szCs w:val="22"/>
      <w:lang w:bidi="ar-SA"/>
    </w:rPr>
  </w:style>
  <w:style w:type="paragraph" w:customStyle="1" w:styleId="170">
    <w:name w:val="章标题"/>
    <w:next w:val="1"/>
    <w:uiPriority w:val="0"/>
    <w:pPr>
      <w:widowControl w:val="0"/>
      <w:adjustRightInd w:val="0"/>
      <w:spacing w:before="100" w:after="100" w:line="360" w:lineRule="auto"/>
      <w:jc w:val="center"/>
      <w:outlineLvl w:val="0"/>
    </w:pPr>
    <w:rPr>
      <w:rFonts w:ascii="Times New Roman" w:hAnsi="Times New Roman" w:eastAsia="SimHei" w:cs="Times New Roman"/>
      <w:kern w:val="44"/>
      <w:sz w:val="36"/>
      <w:szCs w:val="44"/>
      <w:lang w:bidi="ar-SA"/>
    </w:rPr>
  </w:style>
  <w:style w:type="paragraph" w:customStyle="1" w:styleId="171">
    <w:name w:val="附录标题"/>
    <w:next w:val="1"/>
    <w:uiPriority w:val="0"/>
    <w:pPr>
      <w:widowControl w:val="0"/>
      <w:adjustRightInd w:val="0"/>
      <w:spacing w:before="100" w:after="100" w:line="360" w:lineRule="auto"/>
      <w:jc w:val="both"/>
      <w:outlineLvl w:val="0"/>
    </w:pPr>
    <w:rPr>
      <w:rFonts w:ascii="Times New Roman" w:hAnsi="Times New Roman" w:eastAsia="SimHei" w:cs="Times New Roman"/>
      <w:color w:val="000000"/>
      <w:kern w:val="44"/>
      <w:sz w:val="36"/>
      <w:szCs w:val="44"/>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36012</Words>
  <Characters>36799</Characters>
  <Lines>0</Lines>
  <Paragraphs>0</Paragraphs>
  <TotalTime>1</TotalTime>
  <ScaleCrop>false</ScaleCrop>
  <LinksUpToDate>false</LinksUpToDate>
  <CharactersWithSpaces>37025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WPS_1687232069</cp:lastModifiedBy>
  <dcterms:modified xsi:type="dcterms:W3CDTF">2026-04-07T09:23:56Z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DE46ED90C1004998A079847125C69EE9_13</vt:lpwstr>
  </property>
  <property fmtid="{D5CDD505-2E9C-101B-9397-08002B2CF9AE}" pid="4" name="KSOTemplateDocerSaveRecord">
    <vt:lpwstr>eyJoZGlkIjoiM2M3YTE5OTYyNjc5NTNlZjFhMmFmZmZhYmY0YTgxOWUiLCJ1c2VySWQiOiIxNTA5MTk0NDgzIn0=</vt:lpwstr>
  </property>
</Properties>
</file>